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6, 2026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DELCATH SYSTEMS,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60" w:after="60"/>
        <w:ind w:left="0" w:right="0" w:firstLine="1504"/>
        <w:jc w:val="center"/>
        <w:rPr>
          <w:rFonts w:ascii="Arial;sans-serif" w:hAnsi="Arial;sans-serif"/>
          <w:b w:val="false"/>
          <w:color w:val="000000"/>
          <w:sz w:val="24"/>
        </w:rPr>
      </w:pPr>
      <w:r>
        <w:rPr>
          <w:rFonts w:ascii="Arial;sans-serif" w:hAnsi="Arial;sans-serif"/>
          <w:b w:val="false"/>
          <w:color w:val="000000"/>
          <w:sz w:val="24"/>
        </w:rPr>
        <w:t>_____________________</w:t>
      </w:r>
    </w:p>
    <w:tbl>
      <w:tblPr>
        <w:tblW w:w="9862"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677"/>
        <w:gridCol w:w="677"/>
        <w:gridCol w:w="685"/>
        <w:gridCol w:w="109"/>
        <w:gridCol w:w="109"/>
        <w:gridCol w:w="109"/>
        <w:gridCol w:w="760"/>
        <w:gridCol w:w="760"/>
        <w:gridCol w:w="1089"/>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001-16133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06-1245881</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566 Queensbury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Queensbury, NY 12804</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(518) 743-8892</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before="0" w:after="0"/>
        <w:jc w:val="left"/>
        <w:rPr/>
      </w:pPr>
      <w:r>
        <w:rPr/>
      </w:r>
    </w:p>
    <w:p>
      <w:pPr>
        <w:pStyle w:val="TextBody"/>
        <w:bidi w:val="0"/>
        <w:spacing w:lineRule="auto" w:line="288" w:before="0" w:after="0"/>
        <w:ind w:left="0" w:right="0" w:firstLine="4"/>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523" w:type="dxa"/>
        <w:jc w:val="left"/>
        <w:tblInd w:w="0" w:type="dxa"/>
        <w:tblLayout w:type="fixed"/>
        <w:tblCellMar>
          <w:top w:w="28" w:type="dxa"/>
          <w:left w:w="28" w:type="dxa"/>
          <w:bottom w:w="28" w:type="dxa"/>
          <w:right w:w="28" w:type="dxa"/>
        </w:tblCellMar>
      </w:tblPr>
      <w:tblGrid>
        <w:gridCol w:w="900"/>
        <w:gridCol w:w="793"/>
        <w:gridCol w:w="796"/>
        <w:gridCol w:w="193"/>
        <w:gridCol w:w="193"/>
        <w:gridCol w:w="193"/>
        <w:gridCol w:w="210"/>
        <w:gridCol w:w="210"/>
        <w:gridCol w:w="211"/>
        <w:gridCol w:w="115"/>
        <w:gridCol w:w="115"/>
        <w:gridCol w:w="115"/>
        <w:gridCol w:w="774"/>
        <w:gridCol w:w="774"/>
        <w:gridCol w:w="777"/>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8" w:type="dxa"/>
            <w:gridSpan w:val="6"/>
            <w:vMerge w:val="restart"/>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97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4"/>
              </w:rPr>
            </w:pPr>
            <w:r>
              <w:rPr>
                <w:rFonts w:ascii="Times New Roman;serif" w:hAnsi="Times New Roman;serif"/>
                <w:b/>
                <w:color w:val="000000"/>
                <w:sz w:val="14"/>
              </w:rPr>
              <w:t>Trading</w:t>
            </w:r>
          </w:p>
        </w:tc>
        <w:tc>
          <w:tcPr>
            <w:tcW w:w="23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4"/>
              </w:rPr>
            </w:pPr>
            <w:r>
              <w:rPr>
                <w:rFonts w:ascii="Times New Roman;serif" w:hAnsi="Times New Roman;serif"/>
                <w:b/>
                <w:color w:val="000000"/>
                <w:sz w:val="14"/>
              </w:rPr>
              <w:t>Name of each exchange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8" w:type="dxa"/>
            <w:gridSpan w:val="6"/>
            <w:vMerge w:val="continue"/>
            <w:tcBorders/>
            <w:tcMar>
              <w:top w:w="0" w:type="dxa"/>
              <w:left w:w="0" w:type="dxa"/>
              <w:bottom w:w="0" w:type="dxa"/>
              <w:right w:w="0" w:type="dxa"/>
            </w:tcMar>
            <w:vAlign w:val="center"/>
          </w:tcPr>
          <w:p>
            <w:pPr>
              <w:pStyle w:val="Normal"/>
              <w:bidi w:val="0"/>
              <w:jc w:val="left"/>
              <w:rPr/>
            </w:pPr>
            <w:r>
              <w:rPr/>
            </w:r>
          </w:p>
        </w:tc>
        <w:tc>
          <w:tcPr>
            <w:tcW w:w="97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4"/>
              </w:rPr>
            </w:pPr>
            <w:r>
              <w:rPr>
                <w:rFonts w:ascii="Times New Roman;serif" w:hAnsi="Times New Roman;serif"/>
                <w:b/>
                <w:color w:val="000000"/>
                <w:sz w:val="14"/>
              </w:rPr>
              <w:t>symbol(s)</w:t>
            </w:r>
          </w:p>
        </w:tc>
        <w:tc>
          <w:tcPr>
            <w:tcW w:w="23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4"/>
              </w:rPr>
            </w:pPr>
            <w:r>
              <w:rPr>
                <w:rFonts w:ascii="Times New Roman;serif" w:hAnsi="Times New Roman;serif"/>
                <w:b/>
                <w:color w:val="000000"/>
                <w:sz w:val="14"/>
              </w:rPr>
              <w:t>on which registered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Common Stock, $.01 par value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DCTH</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 xml:space="preserve">The </w:t>
            </w:r>
            <w:r>
              <w:rPr>
                <w:rFonts w:ascii="Times New Roman;serif" w:hAnsi="Times New Roman;serif"/>
                <w:b/>
                <w:color w:val="000000"/>
                <w:sz w:val="20"/>
              </w:rPr>
              <w:t>Nasdaq</w:t>
            </w:r>
            <w:r>
              <w:rPr>
                <w:color w:val="000000"/>
              </w:rPr>
              <w:t xml:space="preserve"> </w:t>
            </w:r>
            <w:r>
              <w:rPr>
                <w:rFonts w:ascii="Times New Roman;serif" w:hAnsi="Times New Roman;serif"/>
                <w:b/>
                <w:color w:val="000000"/>
                <w:sz w:val="18"/>
              </w:rPr>
              <w:t>Capital Market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ind w:left="0" w:right="0" w:firstLine="4"/>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Delcath Systems, Inc. (“Delcath”) issued a press release announcing financial results and business highlights for the quarter ended June 30, 2026 (the “Press Release”). A copy of the press release is furnished pursuant to Item 2.02 as Exhibit 99.1 hereto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information contained in this Current Report on Form 8-K, including the Press Release, shall not be deemed “filed” for purposes of Section 18 of the Securities Exchange Act of 1934, as amended, or otherwise subject to the liabilities of that Section or Sections 11 and 12(a)(2) of the Securities Act of 1933, as amended. The information contained herein and in the Press Release shall not be incorporated by reference into any filing with the U.S. Securities and Exchange Commission by Delcath whether made before or after the date hereof,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9"/>
        <w:gridCol w:w="1929"/>
        <w:gridCol w:w="27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dcth-q22026erex991.htm">
              <w:r>
                <w:rPr>
                  <w:rStyle w:val="InternetLink"/>
                  <w:rFonts w:ascii="Times New Roman;serif" w:hAnsi="Times New Roman;serif"/>
                  <w:b w:val="false"/>
                  <w:color w:val="0000FF"/>
                  <w:sz w:val="20"/>
                  <w:u w:val="single"/>
                </w:rPr>
                <w:t>Press Release, dated August 6,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5891" w:type="dxa"/>
        <w:jc w:val="left"/>
        <w:tblInd w:w="0" w:type="dxa"/>
        <w:tblLayout w:type="fixed"/>
        <w:tblCellMar>
          <w:top w:w="28" w:type="dxa"/>
          <w:left w:w="28" w:type="dxa"/>
          <w:bottom w:w="28" w:type="dxa"/>
          <w:right w:w="28" w:type="dxa"/>
        </w:tblCellMar>
      </w:tblPr>
      <w:tblGrid>
        <w:gridCol w:w="667"/>
        <w:gridCol w:w="587"/>
        <w:gridCol w:w="590"/>
        <w:gridCol w:w="257"/>
        <w:gridCol w:w="257"/>
        <w:gridCol w:w="257"/>
        <w:gridCol w:w="257"/>
        <w:gridCol w:w="257"/>
        <w:gridCol w:w="257"/>
        <w:gridCol w:w="729"/>
        <w:gridCol w:w="729"/>
        <w:gridCol w:w="10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DELCATH SYSTEMS,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771"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Sandra Pennell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Sandra Pennell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 xml:space="preserve">Delcath Systems Reports Second Quarter 2026 </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Results and Business Highlights</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4"/>
        </w:rPr>
      </w:pPr>
      <w:r>
        <w:rPr>
          <w:rFonts w:ascii="Times New Roman;serif" w:hAnsi="Times New Roman;serif"/>
          <w:b w:val="false"/>
          <w:i/>
          <w:color w:val="000000"/>
          <w:sz w:val="24"/>
        </w:rPr>
        <w:t>Increases 2026 Revenue Guidance to a Range of $104M to $108M</w:t>
      </w:r>
    </w:p>
    <w:p>
      <w:pPr>
        <w:pStyle w:val="TextBody"/>
        <w:bidi w:val="0"/>
        <w:spacing w:lineRule="auto" w:line="276" w:before="0" w:after="0"/>
        <w:jc w:val="center"/>
        <w:rPr>
          <w:rFonts w:ascii="Times New Roman;serif" w:hAnsi="Times New Roman;serif"/>
          <w:b w:val="false"/>
          <w:i/>
          <w:color w:val="000000"/>
          <w:sz w:val="24"/>
        </w:rPr>
      </w:pPr>
      <w:r>
        <w:rPr>
          <w:rFonts w:ascii="Times New Roman;serif" w:hAnsi="Times New Roman;serif"/>
          <w:b w:val="false"/>
          <w:i/>
          <w:color w:val="000000"/>
          <w:sz w:val="24"/>
        </w:rPr>
        <w:t>Conference Call Today at 8:30 a.m. Eastern Time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QUEENSBURY, NY – August 6, 2026, Delcath Systems, Inc. (Nasdaq: DCTH), an interventional oncology company focused on the treatment of primary and metastatic liver cancers, today announced financial results and business highlights for the second quarter ended June 30,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Second Quarter 2026 Financial Results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Total revenue of $29.1 million, compared with $24.2 million in the second quarter of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HEPZATO KIT™ revenue of $27.1 million, compared to $22.5 million in the second quarter of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CHEMOSAT</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revenue of $2.0 million, compared to $1.7 million in the second quarter of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Gross margins of 90%, compared to 86% in the second quarter of 2025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Net income of $2.7 million for both second quarters in 2026 and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Non-GAAP adjusted EBITDA of $7.6 million, compared to $9.8 million in the second quarter of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Cash provided by operations of $5.7 million in the quarter; compared to $7.3 million in the second quarter of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Cash and investments of $95.9 million as of June 30,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Business Highlights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Currently 31 active treatment centers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Approximately 30% growth in HEPZATO volume in the second quarter 2026 compared to the second quarter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Independent investigators presented retrospective data at ESMO Breast Cancer 2026 showing a 60% hepatic partial response rate with percutaneous hepatic perfusion in heavily pretreated patients with liver-dominant metastatic breast cancer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Independent investigators presented two investigator-initiated Trials-in-Progress abstracts at ASCO 2026: one evaluating sequential HEPZATO followed by tebentafusp in metastatic uveal melanoma, and one evaluating HEPZATO in combination with nivolumab/relatlimab in metastatic cutaneous melanoma with liver metastases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Dosed the first patient in the global Phase 2 trial of HEPZATO in combination with standard of care in patients with liver-dominant HER2-negative metastatic breast cancer</w:t>
      </w:r>
    </w:p>
    <w:p>
      <w:pPr>
        <w:pStyle w:val="TextBody"/>
        <w:bidi w:val="0"/>
        <w:spacing w:before="120" w:after="283"/>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Our strong second quarter, including total revenue of $29.1 million and quarterly operating cash flow of $5.7 million, reflects continued momentum in HEPZATO procedures,” said Gerard Michel, Chief Executive Officer of Delcath Systems. “As we grow our active treatment center network and drive physician adoption, we are seeing increased usage of HEPZATO in combination with systemic therapies to treat metastatic uveal melanoma. The growing clinical experience with this treatment strategy is strengthening physician confidence in HEPZATO and supporting its development as a multi-indication, liver-directed therapy platform, including colorectal and breast cancer.”</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60" w:after="120"/>
        <w:jc w:val="left"/>
        <w:rPr>
          <w:rFonts w:ascii="Times New Roman;serif" w:hAnsi="Times New Roman;serif"/>
          <w:b/>
          <w:color w:val="000000"/>
          <w:sz w:val="22"/>
        </w:rPr>
      </w:pPr>
      <w:r>
        <w:rPr>
          <w:rFonts w:ascii="Times New Roman;serif" w:hAnsi="Times New Roman;serif"/>
          <w:b/>
          <w:color w:val="000000"/>
          <w:sz w:val="22"/>
        </w:rPr>
        <w:t>2026 Full Year Financial Guidance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financial outlook for fiscal year 2026:</w:t>
      </w:r>
    </w:p>
    <w:p>
      <w:pPr>
        <w:pStyle w:val="TextBody"/>
        <w:bidi w:val="0"/>
        <w:spacing w:lineRule="auto" w:line="264" w:before="120" w:after="283"/>
        <w:ind w:left="0" w:right="0" w:hanging="360"/>
        <w:jc w:val="left"/>
        <w:rPr/>
      </w:pPr>
      <w:r>
        <w:rPr>
          <w:color w:val="000000"/>
        </w:rPr>
        <w:t>•</w:t>
      </w:r>
      <w:r>
        <w:rPr>
          <w:rFonts w:ascii="Times New Roman;serif" w:hAnsi="Times New Roman;serif"/>
          <w:b w:val="false"/>
          <w:color w:val="000000"/>
          <w:sz w:val="22"/>
        </w:rPr>
        <w:t>Total HEPZATO KIT and CHEMOSAT revenue to range from $104 million to $108 million, reflecting an increase in HEPZATO KIT volume of at least 28% over 2025</w:t>
      </w:r>
    </w:p>
    <w:p>
      <w:pPr>
        <w:pStyle w:val="TextBody"/>
        <w:bidi w:val="0"/>
        <w:spacing w:lineRule="auto" w:line="264" w:before="120" w:after="283"/>
        <w:ind w:left="0" w:right="0" w:hanging="360"/>
        <w:jc w:val="left"/>
        <w:rPr/>
      </w:pPr>
      <w:r>
        <w:rPr>
          <w:color w:val="000000"/>
        </w:rPr>
        <w:t>•</w:t>
      </w:r>
      <w:r>
        <w:rPr>
          <w:rFonts w:ascii="Times New Roman;serif" w:hAnsi="Times New Roman;serif"/>
          <w:b w:val="false"/>
          <w:color w:val="000000"/>
          <w:sz w:val="22"/>
        </w:rPr>
        <w:t>Full year gross margins in the range of 86% to 89%</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Positive adjusted EBITDA</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Second Quarter 2026 Results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 for the quarter ending June 30, 2026 was $29.1 million compared to $24.2 million for the same period in the prior year. Revenue in the quarter includes sales of $27.1 million of HEPZATO in the U.S. and $2.0 million of CHEMOSAT in Europe.</w:t>
      </w:r>
    </w:p>
    <w:p>
      <w:pPr>
        <w:pStyle w:val="TextBody"/>
        <w:bidi w:val="0"/>
        <w:spacing w:lineRule="auto" w:line="276" w:before="6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expenses for the quarter ending June 30, 2026, were $10.4 million compared to $6.9 million for the same period in the prior year. The increase is primarily due to increased clinical headcount and increased clinical trial activity.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 for the quarter ended June 30, 2026, were $13.4 million compared to $11.4 million for the same period in the prior year. The increase is primarily due to continued commercial expansion activities.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Net income was $2.7 million for both the quarters ended June 30, 2026 and June 30, 2025.</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Non-GAAP adjusted EBITDA for the quarter ended June 30, 2026 was $7.6 million compared to adjusted EBITDA of $9.8 million for the same period in the prior year. A table reconciling non-GAAP measures is included in this press release for reference.</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As of June 30, 2026, the Company had $95.9 million in cash and investments, and no debt.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To participate in this event, dial in approximately 5 to 10 minutes before the beginning of the call.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Event Date: Thursday, August 6, 2026</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Time: 8:30 AM Eastern Time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Participant Numbers: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Toll Free: 1-800-717-1738</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International: 1-646-307-1865</w:t>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Webcast: https://viavid.webcasts.com/starthere.jsp?ei=1767384&amp;tp_key=cbc23b55c8</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 replay of the webinar will be available shortly after the conclusion of the call and will be archived on the company's website https://investors.delcath.com/news-events/events-and-presentations.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GAAP v. Non-GAAP Measures</w:t>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Delcath’s reported earnings are prepared in accordance with generally accepted accounting principles in the United States, or GAAP, and represent earnings as reported to the Securities and Exchange Commission. Delcath has provided in this release certain financial information that has not been prepared in accordance with GAAP. Delcath’s management believes that the non-GAAP adjusted EBITDA described in this release, which includes adjustments for specific items that are generally not indicative of our core operations, provides additional information that is useful to investors in understanding Delcath’s underlying performance, business and performance trends, and helps facilitate period-to-period comparisons and comparisons of its financial measures with other companies in Delcath’s industry. However, the non-GAAP financial measures that Delcath uses may differ from measures that other companies may use. Non-GAAP financial measures are not required to be uniformly applied, are not audited and should not be considered in isolation or as substitutes for results prepared in accordance with GAAP.</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shd w:fill="FFFFFF" w:val="clear"/>
        </w:rPr>
        <w:t>About Delcath Systems, Inc</w:t>
      </w:r>
      <w:r>
        <w:rPr>
          <w:rFonts w:ascii="Times New Roman;serif" w:hAnsi="Times New Roman;serif"/>
          <w:b/>
          <w:color w:val="000000"/>
          <w:sz w:val="22"/>
        </w:rPr>
        <w:t>., HEPZATO KIT and CHEMOSAT</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Delcath Systems, Inc. is an interventional oncology company focused on the treatment of primary and metastatic liver cancers. The company's proprietary products, HEPZATO KIT™ (HEPZATO (melphalan) for Injection/Hepatic Delivery System) and CHEMOSAT® Hepatic Delivery System (HDS) for Melphalan percutaneous hepatic perfusion (PHP), are designed to administer high-dose chemotherapy to the liver while controlling systemic exposure and associated side effects during a PHP procedure.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In the United States, HEPZATO KIT is considered a combination drug and device product and is regulated and approved for sale as a drug by the FDA. HEPZATO KIT is comprised of the chemotherapeutic drug melphalan and Delcath</w:t>
      </w:r>
      <w:r>
        <w:rPr>
          <w:color w:val="000000"/>
        </w:rPr>
        <w:t>’</w:t>
      </w:r>
      <w:r>
        <w:rPr>
          <w:rFonts w:ascii="Times New Roman;serif" w:hAnsi="Times New Roman;serif"/>
          <w:b w:val="false"/>
          <w:color w:val="000000"/>
          <w:sz w:val="22"/>
        </w:rPr>
        <w:t>s proprietary HDS. The HDS is used to isolate the hepatic venous blood from the systemic circulation while simultaneously filtrating hepatic venous blood during melphalan infusion and washout. The use of the HDS results in loco-regional delivery of a relatively high melphalan dose, which can potentially induce a clinically meaningful tumor response with minimal hepatotoxicity and reduce systemic exposure. HEPZATO KIT is approved in the United States as a liver-directed treatment for adult patients with metastatic uveal melanoma (mUM) with unresectable hepatic metastases affecting less than 50% of the liver and no extrahepatic disease, or extrahepatic disease limited to the bone, lymph nodes, subcutaneous tissues, or lung that is amenable to resection or radiation. Please see the full Prescribing Information, including BOXED WARNING for the HEPZATO KIT.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Europe, the device-only configuration of the HDS is regulated as a Class III medical device and is approved for sale under the trade name CHEMOSAT Hepatic Delivery System for Melphalan, or CHEMOSAT, where it has been used in the conduct of percutaneous hepatic perfusion procedures at major medical centers to treat a wide range of cancers of the liver.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Safe Harbor / Forward-Looking Statements</w:t>
      </w:r>
    </w:p>
    <w:p>
      <w:pPr>
        <w:pStyle w:val="TextBody"/>
        <w:bidi w:val="0"/>
        <w:spacing w:lineRule="auto" w:line="276" w:before="0" w:after="0"/>
        <w:jc w:val="left"/>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The Private Securities Litigation Reform Act of 1995 provides a safe harbor for forward-looking statements made by the Company or on its behalf. This press release contains forward-looking statements, including the Company’s statements regarding the possible synergy seen in the successful Phase 2 CHOPIN Trial being transferable to clinical practice; Company’s 2026 financial outlook, which are subject to certain risks and uncertainties, that can cause actual results to differ materially from those described. The words “anticipate,” “believe,” “continue,” “could,” “estimate,” “expect,” “intend,” “may,” “plan,” “potential,” “predict,” “project,” “should,” “target,” “will,” “would” and similar expressions are intended to identify forward-looking statements, although not all forward-looking statements contain these identifying words. Factors that may cause such differences include, but are not limited to, uncertainties relating to: the Company’s commercialization plans and its ability to successfully commercialize the HEPZATO KIT; contributions to adjusted EBITDA; the Company’s successful management of the HEPZATO KIT supply chain, including securing adequate supply of critical components necessary to manufacture and assemble the HEPZATO KIT; successful FDA inspections of the facilities of the Company and those of its third-party suppliers/manufacturers; the Company’s successful implementation and management of the HEPZATO KIT Risk Evaluation and Mitigation Strategy; the potential benefits of the HEPZATO KIT as a treatment for patients with primary and metastatic disease in the liver; the Company’s ability to obtain reimbursement for the HEPZATO KIT; and the Company’s ability to successfully enter into any necessary purchase and sale agreements with users of the HEPZATO KIT. For additional information about these factors, and others that may impact the Company, please see the Company’s filings with the Securities and Exchange Commission, including those on Forms 10-K, 10-Q, and 8-K. However, new risk factors and uncertainties may emerge from time to time, and it is not possible to predict all risk factors and uncertainties. Accordingly, you should not place undue reliance on these forward-looking statements, which speak only as of the date they are made. We undertake no obligation to publicly update or revise these forward-looking statements to reflect events or circumstances after the date they are made.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Investor Relations Contact:</w:t>
      </w:r>
      <w:r>
        <w:rPr>
          <w:color w:val="000000"/>
        </w:rPr>
        <w:t xml:space="preserve">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ICR Healthcare</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investorrelations@delcath.com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49"/>
        <w:gridCol w:w="2371"/>
        <w:gridCol w:w="2320"/>
        <w:gridCol w:w="211"/>
        <w:gridCol w:w="826"/>
        <w:gridCol w:w="109"/>
        <w:gridCol w:w="109"/>
        <w:gridCol w:w="109"/>
        <w:gridCol w:w="109"/>
        <w:gridCol w:w="211"/>
        <w:gridCol w:w="826"/>
        <w:gridCol w:w="155"/>
      </w:tblGrid>
      <w:tr>
        <w:trPr/>
        <w:tc>
          <w:tcPr>
            <w:tcW w:w="284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14,192 and 14,192 shares issued and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80,000,000 shares authorized; 34,636,252 shares and 34,691,671 shares issued and outstanding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(528,848)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center"/>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DELCATH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240" w:after="283"/>
        <w:jc w:val="center"/>
        <w:rPr/>
      </w:pPr>
      <w:r>
        <w:rPr/>
      </w:r>
    </w:p>
    <w:tbl>
      <w:tblPr>
        <w:tblW w:w="9900" w:type="dxa"/>
        <w:jc w:val="center"/>
        <w:tblInd w:w="0" w:type="dxa"/>
        <w:tblLayout w:type="fixed"/>
        <w:tblCellMar>
          <w:top w:w="28" w:type="dxa"/>
          <w:left w:w="28" w:type="dxa"/>
          <w:bottom w:w="28" w:type="dxa"/>
          <w:right w:w="28" w:type="dxa"/>
        </w:tblCellMar>
      </w:tblPr>
      <w:tblGrid>
        <w:gridCol w:w="1704"/>
        <w:gridCol w:w="1501"/>
        <w:gridCol w:w="150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37,777</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11,889</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22,656</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34,545</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data:</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Basic income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basic shares outstanding</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35,891,915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35,786,813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35,956,205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35,217,887</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Diluted income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dilutive shares outstanding</w:t>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39,761,480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40,262,764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39,584,329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39,890,102</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DELCATH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Reported Net Income (GAAP) to Adjusted EBITDA (NON-GAAP Measure)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000" w:type="dxa"/>
        <w:jc w:val="left"/>
        <w:tblInd w:w="0" w:type="dxa"/>
        <w:tblLayout w:type="fixed"/>
        <w:tblCellMar>
          <w:top w:w="28" w:type="dxa"/>
          <w:left w:w="28" w:type="dxa"/>
          <w:bottom w:w="28" w:type="dxa"/>
          <w:right w:w="28" w:type="dxa"/>
        </w:tblCellMar>
      </w:tblPr>
      <w:tblGrid>
        <w:gridCol w:w="1085"/>
        <w:gridCol w:w="951"/>
        <w:gridCol w:w="963"/>
        <w:gridCol w:w="213"/>
        <w:gridCol w:w="622"/>
        <w:gridCol w:w="110"/>
        <w:gridCol w:w="110"/>
        <w:gridCol w:w="110"/>
        <w:gridCol w:w="110"/>
        <w:gridCol w:w="213"/>
        <w:gridCol w:w="622"/>
        <w:gridCol w:w="110"/>
        <w:gridCol w:w="109"/>
        <w:gridCol w:w="109"/>
        <w:gridCol w:w="109"/>
        <w:gridCol w:w="211"/>
        <w:gridCol w:w="721"/>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2571</Words>
  <Characters>14870</Characters>
  <CharactersWithSpaces>17196</CharactersWithSpaces>
  <Paragraphs>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