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24476ds8.htm"/>
      <w:bookmarkStart w:id="1" w:name="ksd124476ds8"/>
      <w:bookmarkEnd w:id="0"/>
      <w:bookmarkEnd w:id="1"/>
      <w:r>
        <w:rPr>
          <w:rFonts w:ascii="Times New Roman" w:hAnsi="Times New Roman"/>
          <w:b/>
          <w:sz w:val="20"/>
        </w:rPr>
        <w:t xml:space="preserve">As filed with the Securities and Exchange Commission on August 14,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S-8</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DELCATH SYSTEMS,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06-1245881</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566 Queensbury Avenue </w:t>
      </w:r>
    </w:p>
    <w:p>
      <w:pPr>
        <w:pStyle w:val="TextBody"/>
        <w:bidi w:val="0"/>
        <w:spacing w:before="0" w:after="0"/>
        <w:jc w:val="center"/>
        <w:rPr>
          <w:rFonts w:ascii="Times New Roman" w:hAnsi="Times New Roman"/>
          <w:b/>
          <w:sz w:val="20"/>
        </w:rPr>
      </w:pPr>
      <w:r>
        <w:rPr>
          <w:rFonts w:ascii="Times New Roman" w:hAnsi="Times New Roman"/>
          <w:b/>
          <w:sz w:val="20"/>
        </w:rPr>
        <w:t xml:space="preserve">Queensbury, NY 12804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Delcath Systems, Inc. Omnibus 2020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Gerard Michel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Delcath Systems, Inc. </w:t>
      </w:r>
    </w:p>
    <w:p>
      <w:pPr>
        <w:pStyle w:val="TextBody"/>
        <w:bidi w:val="0"/>
        <w:spacing w:before="0" w:after="0"/>
        <w:jc w:val="center"/>
        <w:rPr>
          <w:rFonts w:ascii="Times New Roman" w:hAnsi="Times New Roman"/>
          <w:b/>
          <w:sz w:val="20"/>
        </w:rPr>
      </w:pPr>
      <w:r>
        <w:rPr>
          <w:rFonts w:ascii="Times New Roman" w:hAnsi="Times New Roman"/>
          <w:b/>
          <w:sz w:val="20"/>
        </w:rPr>
        <w:t xml:space="preserve">566 Queensbury Avenue </w:t>
      </w:r>
    </w:p>
    <w:p>
      <w:pPr>
        <w:pStyle w:val="TextBody"/>
        <w:bidi w:val="0"/>
        <w:spacing w:before="0" w:after="0"/>
        <w:jc w:val="center"/>
        <w:rPr>
          <w:rFonts w:ascii="Times New Roman" w:hAnsi="Times New Roman"/>
          <w:b/>
          <w:sz w:val="20"/>
        </w:rPr>
      </w:pPr>
      <w:r>
        <w:rPr>
          <w:rFonts w:ascii="Times New Roman" w:hAnsi="Times New Roman"/>
          <w:b/>
          <w:sz w:val="20"/>
        </w:rPr>
        <w:t xml:space="preserve">Queensbury, NY 12804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240" w:after="0"/>
        <w:jc w:val="center"/>
        <w:rPr>
          <w:rFonts w:ascii="Times New Roman" w:hAnsi="Times New Roman"/>
          <w:b/>
          <w:sz w:val="20"/>
        </w:rPr>
      </w:pPr>
      <w:r>
        <w:rPr>
          <w:rFonts w:ascii="Times New Roman" w:hAnsi="Times New Roman"/>
          <w:b/>
          <w:sz w:val="20"/>
        </w:rPr>
        <w:t>(518) 743-8892</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20"/>
              </w:rPr>
            </w:pPr>
            <w:r>
              <w:rPr>
                <w:rFonts w:ascii="Times New Roman" w:hAnsi="Times New Roman"/>
                <w:b/>
                <w:sz w:val="20"/>
              </w:rPr>
              <w:t>David Hoffman</w:t>
            </w:r>
          </w:p>
          <w:p>
            <w:pPr>
              <w:pStyle w:val="TableContents"/>
              <w:bidi w:val="0"/>
              <w:spacing w:before="0" w:after="0"/>
              <w:jc w:val="center"/>
              <w:rPr>
                <w:rFonts w:ascii="Times New Roman" w:hAnsi="Times New Roman"/>
                <w:b/>
                <w:sz w:val="20"/>
              </w:rPr>
            </w:pPr>
            <w:r>
              <w:rPr>
                <w:rFonts w:ascii="Times New Roman" w:hAnsi="Times New Roman"/>
                <w:b/>
                <w:sz w:val="20"/>
              </w:rPr>
              <w:t>General Counsel</w:t>
            </w:r>
          </w:p>
          <w:p>
            <w:pPr>
              <w:pStyle w:val="TableContents"/>
              <w:bidi w:val="0"/>
              <w:spacing w:before="0" w:after="0"/>
              <w:jc w:val="center"/>
              <w:rPr>
                <w:rFonts w:ascii="Times New Roman" w:hAnsi="Times New Roman"/>
                <w:b/>
                <w:sz w:val="20"/>
              </w:rPr>
            </w:pPr>
            <w:r>
              <w:rPr>
                <w:rFonts w:ascii="Times New Roman" w:hAnsi="Times New Roman"/>
                <w:b/>
                <w:sz w:val="20"/>
              </w:rPr>
              <w:t>Delcath Systems, Inc.</w:t>
            </w:r>
          </w:p>
          <w:p>
            <w:pPr>
              <w:pStyle w:val="TableContents"/>
              <w:bidi w:val="0"/>
              <w:spacing w:before="0" w:after="0"/>
              <w:jc w:val="center"/>
              <w:rPr>
                <w:rFonts w:ascii="Times New Roman" w:hAnsi="Times New Roman"/>
                <w:b/>
                <w:sz w:val="20"/>
              </w:rPr>
            </w:pPr>
            <w:r>
              <w:rPr>
                <w:rFonts w:ascii="Times New Roman" w:hAnsi="Times New Roman"/>
                <w:b/>
                <w:sz w:val="20"/>
              </w:rPr>
              <w:t>566 Queensbury Avenue</w:t>
            </w:r>
          </w:p>
          <w:p>
            <w:pPr>
              <w:pStyle w:val="TableContents"/>
              <w:bidi w:val="0"/>
              <w:spacing w:before="0" w:after="20"/>
              <w:jc w:val="center"/>
              <w:rPr>
                <w:rFonts w:ascii="Times New Roman" w:hAnsi="Times New Roman"/>
                <w:b/>
                <w:sz w:val="20"/>
              </w:rPr>
            </w:pPr>
            <w:r>
              <w:rPr>
                <w:rFonts w:ascii="Times New Roman" w:hAnsi="Times New Roman"/>
                <w:b/>
                <w:sz w:val="20"/>
              </w:rPr>
              <w:t>Queensbury, NY 12804</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Ryan Sansom</w:t>
            </w:r>
          </w:p>
          <w:p>
            <w:pPr>
              <w:pStyle w:val="TableContents"/>
              <w:bidi w:val="0"/>
              <w:spacing w:before="0" w:after="0"/>
              <w:jc w:val="center"/>
              <w:rPr>
                <w:rFonts w:ascii="Times New Roman" w:hAnsi="Times New Roman"/>
                <w:b/>
                <w:sz w:val="20"/>
              </w:rPr>
            </w:pPr>
            <w:r>
              <w:rPr>
                <w:rFonts w:ascii="Times New Roman" w:hAnsi="Times New Roman"/>
                <w:b/>
                <w:sz w:val="20"/>
              </w:rPr>
              <w:t>Christina Roupas</w:t>
            </w:r>
          </w:p>
          <w:p>
            <w:pPr>
              <w:pStyle w:val="TableContents"/>
              <w:bidi w:val="0"/>
              <w:spacing w:before="0" w:after="0"/>
              <w:jc w:val="center"/>
              <w:rPr>
                <w:rFonts w:ascii="Times New Roman" w:hAnsi="Times New Roman"/>
                <w:b/>
                <w:sz w:val="20"/>
              </w:rPr>
            </w:pPr>
            <w:r>
              <w:rPr>
                <w:rFonts w:ascii="Times New Roman" w:hAnsi="Times New Roman"/>
                <w:b/>
                <w:sz w:val="20"/>
              </w:rPr>
              <w:t>Cooley LLP</w:t>
            </w:r>
          </w:p>
          <w:p>
            <w:pPr>
              <w:pStyle w:val="TableContents"/>
              <w:bidi w:val="0"/>
              <w:spacing w:before="0" w:after="0"/>
              <w:jc w:val="center"/>
              <w:rPr>
                <w:rFonts w:ascii="Times New Roman" w:hAnsi="Times New Roman"/>
                <w:b/>
                <w:sz w:val="20"/>
              </w:rPr>
            </w:pPr>
            <w:r>
              <w:rPr>
                <w:rFonts w:ascii="Times New Roman" w:hAnsi="Times New Roman"/>
                <w:b/>
                <w:sz w:val="20"/>
              </w:rPr>
              <w:t>500 Boylston Street</w:t>
            </w:r>
          </w:p>
          <w:p>
            <w:pPr>
              <w:pStyle w:val="TableContents"/>
              <w:bidi w:val="0"/>
              <w:spacing w:before="0" w:after="0"/>
              <w:jc w:val="center"/>
              <w:rPr>
                <w:rFonts w:ascii="Times New Roman" w:hAnsi="Times New Roman"/>
                <w:b/>
                <w:sz w:val="20"/>
              </w:rPr>
            </w:pPr>
            <w:r>
              <w:rPr>
                <w:rFonts w:ascii="Times New Roman" w:hAnsi="Times New Roman"/>
                <w:b/>
                <w:sz w:val="20"/>
              </w:rPr>
              <w:t>Boston, MA 02116-3736</w:t>
            </w:r>
          </w:p>
          <w:p>
            <w:pPr>
              <w:pStyle w:val="TableContents"/>
              <w:bidi w:val="0"/>
              <w:spacing w:before="0" w:after="20"/>
              <w:jc w:val="center"/>
              <w:rPr>
                <w:rFonts w:ascii="Times New Roman" w:hAnsi="Times New Roman"/>
                <w:b/>
                <w:sz w:val="20"/>
              </w:rPr>
            </w:pPr>
            <w:r>
              <w:rPr>
                <w:rFonts w:ascii="Times New Roman" w:hAnsi="Times New Roman"/>
                <w:b/>
                <w:sz w:val="20"/>
              </w:rPr>
              <w:t>(617) 937 2335</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is being filed by Delcath Systems, Inc. (the “Registrant” or the “Company”) for the purposes of registering an additional 1,800,000 shares (the “Shares”) of the Company’s common stock, par value $0.01 per share (the “Common Stock”) issuable under the Company’s Omnibus 2020 Equity Incentive Plan, as amended (the “2020 EIP” and such amendment, the “2020 EIP Amendment”); </w:t>
      </w:r>
    </w:p>
    <w:p>
      <w:pPr>
        <w:pStyle w:val="TextBody"/>
        <w:bidi w:val="0"/>
        <w:spacing w:before="240" w:after="0"/>
        <w:jc w:val="left"/>
        <w:rPr>
          <w:rFonts w:ascii="Times New Roman" w:hAnsi="Times New Roman"/>
          <w:sz w:val="20"/>
        </w:rPr>
      </w:pPr>
      <w:r>
        <w:rPr>
          <w:rFonts w:ascii="Times New Roman" w:hAnsi="Times New Roman"/>
          <w:sz w:val="20"/>
        </w:rPr>
        <w:t xml:space="preserve">The 2020 EIP Amendment was adopted by the Company’s Board of Directors on February 12, 2026, subject to stockholder approval, which was obtained at the Annual Meeting of Stockholders held on May 13, 2026. </w:t>
      </w:r>
    </w:p>
    <w:p>
      <w:pPr>
        <w:pStyle w:val="TextBody"/>
        <w:bidi w:val="0"/>
        <w:spacing w:before="240" w:after="0"/>
        <w:jc w:val="left"/>
        <w:rPr/>
      </w:pPr>
      <w:r>
        <w:rPr>
          <w:rFonts w:ascii="Times New Roman" w:hAnsi="Times New Roman"/>
          <w:sz w:val="20"/>
        </w:rPr>
        <w:t xml:space="preserve">The Shares being registered are in addition to the shares of Common Stock registered on (i) the Registrant’s  </w:t>
      </w:r>
      <w:hyperlink r:id="rId2">
        <w:r>
          <w:rPr>
            <w:rStyle w:val="InternetLink"/>
            <w:rFonts w:ascii="Times New Roman" w:hAnsi="Times New Roman"/>
            <w:sz w:val="20"/>
          </w:rPr>
          <w:t>Form S-8</w:t>
        </w:r>
      </w:hyperlink>
      <w:r>
        <w:rPr>
          <w:rFonts w:ascii="Times New Roman" w:hAnsi="Times New Roman"/>
          <w:sz w:val="20"/>
        </w:rPr>
        <w:t xml:space="preserve"> filed with the Commission on December 16, 2020 (File No. 333-251385), (ii) the Registrant’s </w:t>
      </w:r>
      <w:hyperlink r:id="rId3">
        <w:r>
          <w:rPr>
            <w:rStyle w:val="InternetLink"/>
            <w:rFonts w:ascii="Times New Roman" w:hAnsi="Times New Roman"/>
            <w:sz w:val="20"/>
          </w:rPr>
          <w:t>Form S-8</w:t>
        </w:r>
      </w:hyperlink>
      <w:r>
        <w:rPr>
          <w:rFonts w:ascii="Times New Roman" w:hAnsi="Times New Roman"/>
          <w:sz w:val="20"/>
        </w:rPr>
        <w:t xml:space="preserve"> filed with the Commission on January 5, 2022 (File No. 333-262022), (iii) the Registrant’s </w:t>
      </w:r>
      <w:hyperlink r:id="rId4">
        <w:r>
          <w:rPr>
            <w:rStyle w:val="InternetLink"/>
            <w:rFonts w:ascii="Times New Roman" w:hAnsi="Times New Roman"/>
            <w:sz w:val="20"/>
          </w:rPr>
          <w:t>Form S-8</w:t>
        </w:r>
      </w:hyperlink>
      <w:r>
        <w:rPr>
          <w:rFonts w:ascii="Times New Roman" w:hAnsi="Times New Roman"/>
          <w:sz w:val="20"/>
        </w:rPr>
        <w:t xml:space="preserve"> filed with the Commission on December 15, 2023 (File No.  333- 276090), (iv) the Registrant’s </w:t>
      </w:r>
      <w:hyperlink r:id="rId5">
        <w:r>
          <w:rPr>
            <w:rStyle w:val="InternetLink"/>
            <w:rFonts w:ascii="Times New Roman" w:hAnsi="Times New Roman"/>
            <w:sz w:val="20"/>
          </w:rPr>
          <w:t>Form S-8</w:t>
        </w:r>
      </w:hyperlink>
      <w:r>
        <w:rPr>
          <w:rFonts w:ascii="Times New Roman" w:hAnsi="Times New Roman"/>
          <w:sz w:val="20"/>
        </w:rPr>
        <w:t xml:space="preserve"> filed with the Commission on June 28, 2024 (File No. 333- 280550), and the Registrant’s </w:t>
      </w:r>
      <w:hyperlink r:id="rId6">
        <w:r>
          <w:rPr>
            <w:rStyle w:val="InternetLink"/>
            <w:rFonts w:ascii="Times New Roman" w:hAnsi="Times New Roman"/>
            <w:sz w:val="20"/>
          </w:rPr>
          <w:t>Form S-8</w:t>
        </w:r>
      </w:hyperlink>
      <w:r>
        <w:rPr>
          <w:rFonts w:ascii="Times New Roman" w:hAnsi="Times New Roman"/>
          <w:sz w:val="20"/>
        </w:rPr>
        <w:t xml:space="preserve"> filed with the Commission on August 15, 2025 (collectively, the “Prior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relates to securities of the same class as that to which the Prior Registration Statements relate and is submitted in accordance with General Instruction E to Form S-8 regarding Registration of Additional Securities. Pursuant to General Instruction E of Form S-8, the contents of the Prior Registration Statements, to the extent relating to the registration of Common Stock issuable under the 2020 EIP, are incorporated herein by reference and made part of this Registration Statement, except as amended hereby.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with the Commission by the Registrant, pursuant to the Securities Exchange Act of 1934, as amended (the “Exchange Act”), are incorporated herein by reference: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r>
              <w:rPr>
                <w:rFonts w:ascii="Times New Roman" w:hAnsi="Times New Roman"/>
                <w:sz w:val="20"/>
              </w:rPr>
              <w:t xml:space="preserve">the Registrant’s Annual Report on Form 10-K for the fiscal year ended </w:t>
            </w:r>
            <w:hyperlink r:id="rId7">
              <w:r>
                <w:rPr>
                  <w:rStyle w:val="InternetLink"/>
                  <w:rFonts w:ascii="Times New Roman" w:hAnsi="Times New Roman"/>
                  <w:sz w:val="20"/>
                </w:rPr>
                <w:t>December 31, 2025</w:t>
              </w:r>
            </w:hyperlink>
            <w:r>
              <w:rPr>
                <w:rFonts w:ascii="Times New Roman" w:hAnsi="Times New Roman"/>
                <w:sz w:val="20"/>
              </w:rPr>
              <w:t xml:space="preserve"> filed with the Commission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pPr>
            <w:r>
              <w:rPr>
                <w:rFonts w:ascii="Times New Roman" w:hAnsi="Times New Roman"/>
                <w:sz w:val="20"/>
              </w:rPr>
              <w:t xml:space="preserve">the Registrant’s Quarterly Reports on Form 10-Q for the quarterly periods ended </w:t>
            </w:r>
            <w:hyperlink r:id="rId8">
              <w:r>
                <w:rPr>
                  <w:rStyle w:val="InternetLink"/>
                  <w:rFonts w:ascii="Times New Roman" w:hAnsi="Times New Roman"/>
                  <w:sz w:val="20"/>
                </w:rPr>
                <w:t>March 31, 2026</w:t>
              </w:r>
            </w:hyperlink>
            <w:r>
              <w:rPr>
                <w:rFonts w:ascii="Times New Roman" w:hAnsi="Times New Roman"/>
                <w:sz w:val="20"/>
              </w:rPr>
              <w:t xml:space="preserve"> and </w:t>
            </w:r>
            <w:hyperlink r:id="rId9">
              <w:r>
                <w:rPr>
                  <w:rStyle w:val="InternetLink"/>
                  <w:rFonts w:ascii="Times New Roman" w:hAnsi="Times New Roman"/>
                  <w:sz w:val="20"/>
                </w:rPr>
                <w:t>June 30, 2026</w:t>
              </w:r>
            </w:hyperlink>
            <w:r>
              <w:rPr>
                <w:rFonts w:ascii="Times New Roman" w:hAnsi="Times New Roman"/>
                <w:sz w:val="20"/>
              </w:rPr>
              <w:t xml:space="preserve">, filed with the Commission on May 7, 2026 and August 6,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pPr>
            <w:r>
              <w:rPr>
                <w:rFonts w:ascii="Times New Roman" w:hAnsi="Times New Roman"/>
                <w:sz w:val="20"/>
              </w:rPr>
              <w:t xml:space="preserve">the Registrant’s Current Reports on Form 8-K filed with the Commission on </w:t>
            </w:r>
            <w:hyperlink r:id="rId10">
              <w:r>
                <w:rPr>
                  <w:rStyle w:val="InternetLink"/>
                  <w:rFonts w:ascii="Times New Roman" w:hAnsi="Times New Roman"/>
                  <w:sz w:val="20"/>
                </w:rPr>
                <w:t>January 12, 2025</w:t>
              </w:r>
            </w:hyperlink>
            <w:r>
              <w:rPr>
                <w:rFonts w:ascii="Times New Roman" w:hAnsi="Times New Roman"/>
                <w:sz w:val="20"/>
              </w:rPr>
              <w:t xml:space="preserve">, </w:t>
            </w:r>
            <w:hyperlink r:id="rId11">
              <w:r>
                <w:rPr>
                  <w:rStyle w:val="InternetLink"/>
                  <w:rFonts w:ascii="Times New Roman" w:hAnsi="Times New Roman"/>
                  <w:sz w:val="20"/>
                </w:rPr>
                <w:t>March  3, 2026</w:t>
              </w:r>
            </w:hyperlink>
            <w:r>
              <w:rPr>
                <w:rFonts w:ascii="Times New Roman" w:hAnsi="Times New Roman"/>
                <w:sz w:val="20"/>
              </w:rPr>
              <w:t xml:space="preserve">, and </w:t>
            </w:r>
            <w:hyperlink r:id="rId12">
              <w:r>
                <w:rPr>
                  <w:rStyle w:val="InternetLink"/>
                  <w:rFonts w:ascii="Times New Roman" w:hAnsi="Times New Roman"/>
                  <w:sz w:val="20"/>
                </w:rPr>
                <w:t>May  14, 2026</w:t>
              </w:r>
            </w:hyperlink>
            <w:r>
              <w:rPr>
                <w:rFonts w:ascii="Times New Roman" w:hAnsi="Times New Roman"/>
                <w:sz w:val="20"/>
              </w:rPr>
              <w:t xml:space="preserve"> and </w:t>
            </w:r>
            <w:hyperlink r:id="rId13">
              <w:r>
                <w:rPr>
                  <w:rStyle w:val="InternetLink"/>
                  <w:rFonts w:ascii="Times New Roman" w:hAnsi="Times New Roman"/>
                  <w:sz w:val="20"/>
                </w:rPr>
                <w:t>August 14,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pPr>
            <w:r>
              <w:rPr>
                <w:rFonts w:ascii="Times New Roman" w:hAnsi="Times New Roman"/>
                <w:sz w:val="20"/>
              </w:rPr>
              <w:t xml:space="preserve">the information specifically incorporated by reference into the Registrant’s Annual Report on Form 10-K for the year ended December 31, 2025, from the Registrant’s Definitive Proxy Statement on Schedule  14A filed with the Commission on </w:t>
            </w:r>
            <w:hyperlink r:id="rId14">
              <w:r>
                <w:rPr>
                  <w:rStyle w:val="InternetLink"/>
                  <w:rFonts w:ascii="Times New Roman" w:hAnsi="Times New Roman"/>
                  <w:sz w:val="20"/>
                </w:rPr>
                <w:t>April 2,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pPr>
            <w:r>
              <w:rPr>
                <w:rFonts w:ascii="Times New Roman" w:hAnsi="Times New Roman"/>
                <w:sz w:val="20"/>
              </w:rPr>
              <w:t xml:space="preserve">the description of the Common Stock of the Registrant set forth in the Registrant’s registration statements pursuant to Section  12 of the Exchange Act, and any amendment or report filed for the purpose of updating such description, including </w:t>
            </w:r>
            <w:hyperlink r:id="rId15">
              <w:r>
                <w:rPr>
                  <w:rStyle w:val="InternetLink"/>
                  <w:rFonts w:ascii="Times New Roman" w:hAnsi="Times New Roman"/>
                  <w:sz w:val="20"/>
                </w:rPr>
                <w:t>Exhibit 4.9</w:t>
              </w:r>
            </w:hyperlink>
            <w:r>
              <w:rPr>
                <w:rFonts w:ascii="Times New Roman" w:hAnsi="Times New Roman"/>
                <w:sz w:val="20"/>
              </w:rPr>
              <w:t xml:space="preserve"> to the Registrant’s Annual Report on Form 10-K for the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subsequently filed by the Registrant pursuant to Sections 13(a), 13(c), 14 and 15(d) of the Exchange Act (other than Current Reports furnished under Item 2.02 or Item 7.01 of Form 8-K and exhibits furnished on such form that relate to such items),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furnished with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3"/>
        <w:gridCol w:w="335"/>
        <w:gridCol w:w="9077"/>
      </w:tblGrid>
      <w:tr>
        <w:trPr/>
        <w:tc>
          <w:tcPr>
            <w:tcW w:w="793"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r>
      <w:tr>
        <w:trPr/>
        <w:tc>
          <w:tcPr>
            <w:tcW w:w="793" w:type="dxa"/>
            <w:tcBorders/>
            <w:vAlign w:val="bottom"/>
          </w:tcPr>
          <w:p>
            <w:pPr>
              <w:pStyle w:val="TableContents"/>
              <w:bidi w:val="0"/>
              <w:spacing w:before="0" w:after="283"/>
              <w:jc w:val="center"/>
              <w:rPr>
                <w:b/>
              </w:rPr>
            </w:pPr>
            <w:r>
              <w:rPr>
                <w:b/>
              </w:rPr>
              <w:t>Exhibit</w:t>
              <w:br/>
              <w:t>No.</w:t>
            </w:r>
          </w:p>
        </w:tc>
        <w:tc>
          <w:tcPr>
            <w:tcW w:w="335" w:type="dxa"/>
            <w:tcBorders/>
            <w:vAlign w:val="bottom"/>
          </w:tcPr>
          <w:p>
            <w:pPr>
              <w:pStyle w:val="TableContents"/>
              <w:bidi w:val="0"/>
              <w:spacing w:before="0" w:after="283"/>
              <w:jc w:val="left"/>
              <w:rPr/>
            </w:pPr>
            <w:r>
              <w:rPr/>
              <w:t>  </w:t>
            </w:r>
          </w:p>
        </w:tc>
        <w:tc>
          <w:tcPr>
            <w:tcW w:w="9077" w:type="dxa"/>
            <w:tcBorders/>
            <w:vAlign w:val="bottom"/>
          </w:tcPr>
          <w:p>
            <w:pPr>
              <w:pStyle w:val="TableContents"/>
              <w:bidi w:val="0"/>
              <w:spacing w:before="0" w:after="283"/>
              <w:jc w:val="left"/>
              <w:rPr>
                <w:b/>
              </w:rPr>
            </w:pPr>
            <w:r>
              <w:rPr>
                <w:b/>
              </w:rPr>
              <w:t>Description of Exhibits</w:t>
            </w:r>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4.1</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16">
              <w:r>
                <w:rPr>
                  <w:rStyle w:val="InternetLink"/>
                </w:rPr>
                <w:t xml:space="preserve">Amended and Restated Certificate of Incorporation of Delcath Systems, Inc. (incorporated by reference to Exhibit 3.1 to the Company’s Registration Statement on Form S-1/A filed with the Commission on September 25, 2019).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4.2</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17">
              <w:r>
                <w:rPr>
                  <w:rStyle w:val="InternetLink"/>
                </w:rPr>
                <w:t xml:space="preserve">Amendment to the Amended and Restated Certificate of Incorporation of Delcath Systems, Inc. dated October  17, 2019 (incorporated by reference to Exhibit 3.1 to the Company’s Current Report on Form 8-K filed with the Commission on October 23, 2019).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4.3</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18">
              <w:r>
                <w:rPr>
                  <w:rStyle w:val="InternetLink"/>
                </w:rPr>
                <w:t xml:space="preserve">Certificate of Correction to Amendment to the Amended and Restated Certificate of Incorporation of Delcath Systems, Inc. dated October  22, 2019 (incorporated by reference to Exhibit 3.2 to the Company’s Current Report on Form 8-K filed with the Commission on October 23, 2019).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4.4</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19">
              <w:r>
                <w:rPr>
                  <w:rStyle w:val="InternetLink"/>
                </w:rPr>
                <w:t xml:space="preserve">Amendment to the Amended and Restated Certificate of Incorporation of Delcath Systems, Inc., effective December  24, 2019 (incorporated by reference to Exhibit 3.1 to the Company’s Current Report on Form 8-K filed with the Commission on December 30, 2019).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4.5</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20">
              <w:r>
                <w:rPr>
                  <w:rStyle w:val="InternetLink"/>
                </w:rPr>
                <w:t xml:space="preserve">Certificate of Amendment to the Amended and Restated Certificate of Incorporation of Delcath Systems, Inc. dated November  23, 2020 (incorporated by reference to Exhibit 3.1 to the Company’s Current Report on Form 8-K filed with the Commission on November 24, 2020).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4.6</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21">
              <w:r>
                <w:rPr>
                  <w:rStyle w:val="InternetLink"/>
                </w:rPr>
                <w:t xml:space="preserve">Certificate of Amendment to the Amended and Restated Certificate of Incorporation of Delcath Systems, Inc. dated June  12, 2023 (incorporated by reference to Exhibit 3.1 to the Company’s Current Report on Form 8-K filed with the Commission on June 12, 2023).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4.7</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22">
              <w:r>
                <w:rPr>
                  <w:rStyle w:val="InternetLink"/>
                </w:rPr>
                <w:t xml:space="preserve">Certificate of Designation of Preference, Rights and Limitations of the Series F Convertible Voting Preferred Stock (incorporated by reference to Exhibit 3.1 to the Company’s Current Report on Form 8-K on March 30, 2023).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4.8</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23">
              <w:r>
                <w:rPr>
                  <w:rStyle w:val="InternetLink"/>
                </w:rPr>
                <w:t xml:space="preserve">Amended and Restated Bylaws, dated August 12, 2026 (incorporated by reference to Exhibit 3.1 to the Company’s Current Report on Form 8-K filed with the Commission on August 14, 2026).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5.1*</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w:anchor="d124476dex51.htm">
              <w:r>
                <w:rPr>
                  <w:rStyle w:val="InternetLink"/>
                </w:rPr>
                <w:t xml:space="preserve">Opinion of Cooley, LLP.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23.1*</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w:anchor="d124476dex51.htm">
              <w:r>
                <w:rPr>
                  <w:rStyle w:val="InternetLink"/>
                </w:rPr>
                <w:t xml:space="preserve">Consent of Cooley, LLP (included in Exhibit 5.1).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23.2*</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w:anchor="d124476dex232.htm">
              <w:r>
                <w:rPr>
                  <w:rStyle w:val="InternetLink"/>
                </w:rPr>
                <w:t xml:space="preserve">Consent of CBIZ CPAs P.C.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24.1*</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w:anchor="tx124476_sig">
              <w:r>
                <w:rPr>
                  <w:rStyle w:val="InternetLink"/>
                </w:rPr>
                <w:t xml:space="preserve">Power of Attorney (included on signature page of this Registration Statement)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 </w:t>
            </w:r>
            <w:r>
              <w:rPr/>
              <w:t>99.1</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r:id="rId24">
              <w:r>
                <w:rPr>
                  <w:rStyle w:val="InternetLink"/>
                </w:rPr>
                <w:t xml:space="preserve">Delcath Systems. Inc. 2020 Omnibus Equity Incentive Plan, as amended (incorporated by reference to the Company’s Current Report on Form 8-K filed on May 14, 2026). </w:t>
              </w:r>
            </w:hyperlink>
          </w:p>
        </w:tc>
      </w:tr>
      <w:tr>
        <w:trPr>
          <w:trHeight w:val="120" w:hRule="atLeast"/>
        </w:trPr>
        <w:tc>
          <w:tcPr>
            <w:tcW w:w="793" w:type="dxa"/>
            <w:tcBorders/>
            <w:vAlign w:val="center"/>
          </w:tcPr>
          <w:p>
            <w:pPr>
              <w:pStyle w:val="TableContents"/>
              <w:bidi w:val="0"/>
              <w:spacing w:before="0" w:after="283"/>
              <w:jc w:val="left"/>
              <w:rPr>
                <w:sz w:val="4"/>
                <w:szCs w:val="4"/>
              </w:rPr>
            </w:pPr>
            <w:r>
              <w:rPr>
                <w:sz w:val="4"/>
                <w:szCs w:val="4"/>
              </w:rPr>
            </w:r>
          </w:p>
        </w:tc>
        <w:tc>
          <w:tcPr>
            <w:tcW w:w="9412" w:type="dxa"/>
            <w:gridSpan w:val="2"/>
            <w:tcBorders/>
            <w:vAlign w:val="center"/>
          </w:tcPr>
          <w:p>
            <w:pPr>
              <w:pStyle w:val="TableContents"/>
              <w:bidi w:val="0"/>
              <w:spacing w:before="0" w:after="283"/>
              <w:jc w:val="left"/>
              <w:rPr>
                <w:sz w:val="4"/>
                <w:szCs w:val="4"/>
              </w:rPr>
            </w:pPr>
            <w:r>
              <w:rPr>
                <w:sz w:val="4"/>
                <w:szCs w:val="4"/>
              </w:rPr>
            </w:r>
          </w:p>
        </w:tc>
      </w:tr>
      <w:tr>
        <w:trPr/>
        <w:tc>
          <w:tcPr>
            <w:tcW w:w="793" w:type="dxa"/>
            <w:tcBorders/>
          </w:tcPr>
          <w:p>
            <w:pPr>
              <w:pStyle w:val="TableContents"/>
              <w:bidi w:val="0"/>
              <w:spacing w:before="0" w:after="283"/>
              <w:jc w:val="left"/>
              <w:rPr/>
            </w:pPr>
            <w:r>
              <w:rPr/>
              <w:t>107*</w:t>
            </w:r>
          </w:p>
        </w:tc>
        <w:tc>
          <w:tcPr>
            <w:tcW w:w="335" w:type="dxa"/>
            <w:tcBorders/>
            <w:vAlign w:val="bottom"/>
          </w:tcPr>
          <w:p>
            <w:pPr>
              <w:pStyle w:val="TableContents"/>
              <w:bidi w:val="0"/>
              <w:spacing w:before="0" w:after="283"/>
              <w:jc w:val="left"/>
              <w:rPr/>
            </w:pPr>
            <w:r>
              <w:rPr/>
              <w:t>  </w:t>
            </w:r>
          </w:p>
        </w:tc>
        <w:tc>
          <w:tcPr>
            <w:tcW w:w="9077" w:type="dxa"/>
            <w:tcBorders/>
          </w:tcPr>
          <w:p>
            <w:pPr>
              <w:pStyle w:val="TableContents"/>
              <w:bidi w:val="0"/>
              <w:spacing w:before="0" w:after="283"/>
              <w:jc w:val="left"/>
              <w:rPr/>
            </w:pPr>
            <w:hyperlink w:anchor="d124476dexfilingfees.htm">
              <w:r>
                <w:rPr>
                  <w:rStyle w:val="InternetLink"/>
                </w:rPr>
                <w:t xml:space="preserve">Calculation of Filing Fee Table. </w:t>
              </w:r>
            </w:hyperlink>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tx124476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Queensbury, State of New York on the 14th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DELCATH SYSTEMS,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2" w:type="dxa"/>
            <w:tcBorders>
              <w:bottom w:val="single" w:sz="2" w:space="0" w:color="000000"/>
            </w:tcBorders>
            <w:tcMar>
              <w:bottom w:w="28" w:type="dxa"/>
            </w:tcMar>
          </w:tcPr>
          <w:p>
            <w:pPr>
              <w:pStyle w:val="TableContents"/>
              <w:bidi w:val="0"/>
              <w:spacing w:before="0" w:after="283"/>
              <w:jc w:val="left"/>
              <w:rPr/>
            </w:pPr>
            <w:r>
              <w:rPr/>
              <w:t>/s/ Sandra Pennell</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Sandra Pennell</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Chief Financial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BY THESE PRESENT, that each individual whose signature appears below hereby constitutes and appoints each of Gerard Michel, Sandra Pennell and David Hoffman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757"/>
        <w:gridCol w:w="121"/>
        <w:gridCol w:w="4346"/>
        <w:gridCol w:w="106"/>
        <w:gridCol w:w="1875"/>
      </w:tblGrid>
      <w:tr>
        <w:trPr/>
        <w:tc>
          <w:tcPr>
            <w:tcW w:w="375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4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375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1" w:type="dxa"/>
            <w:tcBorders/>
            <w:vAlign w:val="bottom"/>
          </w:tcPr>
          <w:p>
            <w:pPr>
              <w:pStyle w:val="TableContents"/>
              <w:bidi w:val="0"/>
              <w:spacing w:before="0" w:after="283"/>
              <w:jc w:val="left"/>
              <w:rPr/>
            </w:pPr>
            <w:r>
              <w:rPr/>
              <w:t>  </w:t>
            </w:r>
          </w:p>
        </w:tc>
        <w:tc>
          <w:tcPr>
            <w:tcW w:w="43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6" w:type="dxa"/>
            <w:tcBorders/>
            <w:vAlign w:val="bottom"/>
          </w:tcPr>
          <w:p>
            <w:pPr>
              <w:pStyle w:val="TableContents"/>
              <w:bidi w:val="0"/>
              <w:spacing w:before="0" w:after="283"/>
              <w:jc w:val="left"/>
              <w:rPr/>
            </w:pPr>
            <w:r>
              <w:rPr/>
              <w:t> </w:t>
            </w:r>
          </w:p>
        </w:tc>
        <w:tc>
          <w:tcPr>
            <w:tcW w:w="18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Gerard Michel</w:t>
            </w:r>
          </w:p>
          <w:p>
            <w:pPr>
              <w:pStyle w:val="TableContents"/>
              <w:bidi w:val="0"/>
              <w:spacing w:before="0" w:after="20"/>
              <w:jc w:val="center"/>
              <w:rPr>
                <w:rFonts w:ascii="Times New Roman" w:hAnsi="Times New Roman"/>
                <w:sz w:val="20"/>
              </w:rPr>
            </w:pPr>
            <w:r>
              <w:rPr>
                <w:rFonts w:ascii="Times New Roman" w:hAnsi="Times New Roman"/>
                <w:sz w:val="20"/>
              </w:rPr>
              <w:t>Gerard Michel</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Sandra Pennell</w:t>
            </w:r>
          </w:p>
          <w:p>
            <w:pPr>
              <w:pStyle w:val="TableContents"/>
              <w:bidi w:val="0"/>
              <w:spacing w:before="0" w:after="20"/>
              <w:jc w:val="center"/>
              <w:rPr>
                <w:rFonts w:ascii="Times New Roman" w:hAnsi="Times New Roman"/>
                <w:sz w:val="20"/>
              </w:rPr>
            </w:pPr>
            <w:r>
              <w:rPr>
                <w:rFonts w:ascii="Times New Roman" w:hAnsi="Times New Roman"/>
                <w:sz w:val="20"/>
              </w:rPr>
              <w:t>Sandra Pennell</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center"/>
              <w:rPr/>
            </w:pPr>
            <w:r>
              <w:rPr/>
              <w:t>Chief Financial Officer (Principal Financial and Accounting Officer)</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John R. Sylvester</w:t>
            </w:r>
          </w:p>
          <w:p>
            <w:pPr>
              <w:pStyle w:val="TableContents"/>
              <w:bidi w:val="0"/>
              <w:spacing w:before="0" w:after="20"/>
              <w:jc w:val="center"/>
              <w:rPr>
                <w:rFonts w:ascii="Times New Roman" w:hAnsi="Times New Roman"/>
                <w:sz w:val="20"/>
              </w:rPr>
            </w:pPr>
            <w:r>
              <w:rPr>
                <w:rFonts w:ascii="Times New Roman" w:hAnsi="Times New Roman"/>
                <w:sz w:val="20"/>
              </w:rPr>
              <w:t>John R. Sylvester</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center"/>
              <w:rPr/>
            </w:pPr>
            <w:r>
              <w:rPr/>
              <w:t>Chairman of the Board</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Gilad Aharon</w:t>
            </w:r>
          </w:p>
          <w:p>
            <w:pPr>
              <w:pStyle w:val="TableContents"/>
              <w:bidi w:val="0"/>
              <w:spacing w:before="0" w:after="20"/>
              <w:jc w:val="center"/>
              <w:rPr>
                <w:rFonts w:ascii="Times New Roman" w:hAnsi="Times New Roman"/>
                <w:sz w:val="20"/>
              </w:rPr>
            </w:pPr>
            <w:r>
              <w:rPr>
                <w:rFonts w:ascii="Times New Roman" w:hAnsi="Times New Roman"/>
                <w:sz w:val="20"/>
              </w:rPr>
              <w:t>Gilad Aharon</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Elizabeth Czerepak</w:t>
            </w:r>
          </w:p>
          <w:p>
            <w:pPr>
              <w:pStyle w:val="TableContents"/>
              <w:bidi w:val="0"/>
              <w:spacing w:before="0" w:after="20"/>
              <w:jc w:val="center"/>
              <w:rPr>
                <w:rFonts w:ascii="Times New Roman" w:hAnsi="Times New Roman"/>
                <w:sz w:val="20"/>
              </w:rPr>
            </w:pPr>
            <w:r>
              <w:rPr>
                <w:rFonts w:ascii="Times New Roman" w:hAnsi="Times New Roman"/>
                <w:sz w:val="20"/>
              </w:rPr>
              <w:t>Elizabeth Czerepak</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Salamon</w:t>
            </w:r>
          </w:p>
          <w:p>
            <w:pPr>
              <w:pStyle w:val="TableContents"/>
              <w:bidi w:val="0"/>
              <w:spacing w:before="0" w:after="20"/>
              <w:jc w:val="center"/>
              <w:rPr>
                <w:rFonts w:ascii="Times New Roman" w:hAnsi="Times New Roman"/>
                <w:sz w:val="20"/>
              </w:rPr>
            </w:pPr>
            <w:r>
              <w:rPr>
                <w:rFonts w:ascii="Times New Roman" w:hAnsi="Times New Roman"/>
                <w:sz w:val="20"/>
              </w:rPr>
              <w:t>Steven Salamon</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r>
        <w:trPr>
          <w:trHeight w:val="240" w:hRule="atLeast"/>
        </w:trPr>
        <w:tc>
          <w:tcPr>
            <w:tcW w:w="3757" w:type="dxa"/>
            <w:tcBorders/>
            <w:vAlign w:val="center"/>
          </w:tcPr>
          <w:p>
            <w:pPr>
              <w:pStyle w:val="TableContents"/>
              <w:bidi w:val="0"/>
              <w:spacing w:before="0" w:after="283"/>
              <w:jc w:val="left"/>
              <w:rPr>
                <w:sz w:val="4"/>
                <w:szCs w:val="4"/>
              </w:rPr>
            </w:pPr>
            <w:r>
              <w:rPr>
                <w:sz w:val="4"/>
                <w:szCs w:val="4"/>
              </w:rPr>
            </w:r>
          </w:p>
        </w:tc>
        <w:tc>
          <w:tcPr>
            <w:tcW w:w="4467" w:type="dxa"/>
            <w:gridSpan w:val="2"/>
            <w:tcBorders/>
            <w:vAlign w:val="center"/>
          </w:tcPr>
          <w:p>
            <w:pPr>
              <w:pStyle w:val="TableContents"/>
              <w:bidi w:val="0"/>
              <w:spacing w:before="0" w:after="283"/>
              <w:jc w:val="left"/>
              <w:rPr>
                <w:sz w:val="4"/>
                <w:szCs w:val="4"/>
              </w:rPr>
            </w:pPr>
            <w:r>
              <w:rPr>
                <w:sz w:val="4"/>
                <w:szCs w:val="4"/>
              </w:rPr>
            </w:r>
          </w:p>
        </w:tc>
        <w:tc>
          <w:tcPr>
            <w:tcW w:w="1981" w:type="dxa"/>
            <w:gridSpan w:val="2"/>
            <w:tcBorders/>
            <w:vAlign w:val="center"/>
          </w:tcPr>
          <w:p>
            <w:pPr>
              <w:pStyle w:val="TableContents"/>
              <w:bidi w:val="0"/>
              <w:spacing w:before="0" w:after="283"/>
              <w:jc w:val="left"/>
              <w:rPr>
                <w:sz w:val="4"/>
                <w:szCs w:val="4"/>
              </w:rPr>
            </w:pPr>
            <w:r>
              <w:rPr>
                <w:sz w:val="4"/>
                <w:szCs w:val="4"/>
              </w:rPr>
            </w:r>
          </w:p>
        </w:tc>
      </w:tr>
      <w:tr>
        <w:trPr/>
        <w:tc>
          <w:tcPr>
            <w:tcW w:w="3757"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Bridget Martell</w:t>
            </w:r>
          </w:p>
          <w:p>
            <w:pPr>
              <w:pStyle w:val="TableContents"/>
              <w:bidi w:val="0"/>
              <w:spacing w:before="0" w:after="20"/>
              <w:jc w:val="center"/>
              <w:rPr>
                <w:rFonts w:ascii="Times New Roman" w:hAnsi="Times New Roman"/>
                <w:sz w:val="20"/>
              </w:rPr>
            </w:pPr>
            <w:r>
              <w:rPr>
                <w:rFonts w:ascii="Times New Roman" w:hAnsi="Times New Roman"/>
                <w:sz w:val="20"/>
              </w:rPr>
              <w:t>Bridget Martell</w:t>
            </w:r>
          </w:p>
        </w:tc>
        <w:tc>
          <w:tcPr>
            <w:tcW w:w="121" w:type="dxa"/>
            <w:tcBorders/>
            <w:vAlign w:val="bottom"/>
          </w:tcPr>
          <w:p>
            <w:pPr>
              <w:pStyle w:val="TableContents"/>
              <w:bidi w:val="0"/>
              <w:spacing w:before="0" w:after="283"/>
              <w:jc w:val="left"/>
              <w:rPr/>
            </w:pPr>
            <w:r>
              <w:rPr/>
              <w:t>  </w:t>
            </w:r>
          </w:p>
        </w:tc>
        <w:tc>
          <w:tcPr>
            <w:tcW w:w="4346" w:type="dxa"/>
            <w:tcBorders/>
          </w:tcPr>
          <w:p>
            <w:pPr>
              <w:pStyle w:val="TableContents"/>
              <w:bidi w:val="0"/>
              <w:spacing w:before="0" w:after="283"/>
              <w:jc w:val="center"/>
              <w:rPr/>
            </w:pPr>
            <w:r>
              <w:rPr/>
              <w:t>Director</w:t>
            </w:r>
          </w:p>
        </w:tc>
        <w:tc>
          <w:tcPr>
            <w:tcW w:w="106" w:type="dxa"/>
            <w:tcBorders/>
            <w:vAlign w:val="bottom"/>
          </w:tcPr>
          <w:p>
            <w:pPr>
              <w:pStyle w:val="TableContents"/>
              <w:bidi w:val="0"/>
              <w:spacing w:before="0" w:after="283"/>
              <w:jc w:val="left"/>
              <w:rPr/>
            </w:pPr>
            <w:r>
              <w:rPr/>
              <w:t> </w:t>
            </w:r>
          </w:p>
        </w:tc>
        <w:tc>
          <w:tcPr>
            <w:tcW w:w="1875" w:type="dxa"/>
            <w:tcBorders/>
          </w:tcPr>
          <w:p>
            <w:pPr>
              <w:pStyle w:val="TableContents"/>
              <w:bidi w:val="0"/>
              <w:spacing w:before="0" w:after="283"/>
              <w:jc w:val="center"/>
              <w:rPr/>
            </w:pPr>
            <w:r>
              <w:rPr/>
              <w:t>August 14, 2026</w:t>
            </w:r>
          </w:p>
        </w:tc>
      </w:tr>
    </w:tbl>
    <w:p>
      <w:pPr>
        <w:pStyle w:val="Normal"/>
        <w:bidi w:val="0"/>
        <w:spacing w:before="0" w:after="0"/>
        <w:jc w:val="left"/>
        <w:rPr>
          <w:sz w:val="4"/>
          <w:szCs w:val="4"/>
        </w:rPr>
      </w:pPr>
      <w:r>
        <w:rPr>
          <w:sz w:val="4"/>
          <w:szCs w:val="4"/>
        </w:rPr>
      </w:r>
      <w:bookmarkStart w:id="3" w:name="d124476dex51.htm"/>
      <w:bookmarkStart w:id="4" w:name="ksd124476dex51"/>
      <w:bookmarkStart w:id="5" w:name="d124476dex51.htm"/>
      <w:bookmarkStart w:id="6" w:name="ksd124476dex51"/>
      <w:bookmarkEnd w:id="5"/>
      <w:bookmarkEnd w:id="6"/>
      <w:r>
        <w:br w:type="page"/>
      </w:r>
    </w:p>
    <w:tbl>
      <w:tblPr>
        <w:tblW w:w="5000" w:type="pct"/>
        <w:jc w:val="center"/>
        <w:tblInd w:w="0" w:type="dxa"/>
        <w:tblLayout w:type="fixed"/>
        <w:tblCellMar>
          <w:top w:w="0" w:type="dxa"/>
          <w:left w:w="0" w:type="dxa"/>
          <w:bottom w:w="0" w:type="dxa"/>
          <w:right w:w="0" w:type="dxa"/>
        </w:tblCellMar>
      </w:tblPr>
      <w:tblGrid>
        <w:gridCol w:w="5283"/>
        <w:gridCol w:w="121"/>
        <w:gridCol w:w="4801"/>
      </w:tblGrid>
      <w:tr>
        <w:trPr/>
        <w:tc>
          <w:tcPr>
            <w:tcW w:w="528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01"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drawing>
                <wp:inline distT="0" distB="0" distL="0" distR="0">
                  <wp:extent cx="1071245" cy="3467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5"/>
                          <a:stretch>
                            <a:fillRect/>
                          </a:stretch>
                        </pic:blipFill>
                        <pic:spPr bwMode="auto">
                          <a:xfrm>
                            <a:off x="0" y="0"/>
                            <a:ext cx="1071245" cy="34671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801" w:type="dxa"/>
            <w:tcBorders/>
          </w:tcPr>
          <w:p>
            <w:pPr>
              <w:pStyle w:val="TableContents"/>
              <w:bidi w:val="0"/>
              <w:spacing w:before="0" w:after="283"/>
              <w:jc w:val="right"/>
              <w:rPr>
                <w:b/>
              </w:rPr>
            </w:pPr>
            <w:r>
              <w:rPr>
                <w:b/>
              </w:rPr>
              <w:t>Exhibit 5.1</w:t>
            </w:r>
          </w:p>
        </w:tc>
      </w:tr>
    </w:tbl>
    <w:p>
      <w:pPr>
        <w:pStyle w:val="TextBody"/>
        <w:bidi w:val="0"/>
        <w:spacing w:before="240" w:after="0"/>
        <w:jc w:val="left"/>
        <w:rPr>
          <w:rFonts w:ascii="Times New Roman" w:hAnsi="Times New Roman"/>
          <w:sz w:val="20"/>
        </w:rPr>
      </w:pPr>
      <w:r>
        <w:rPr>
          <w:rFonts w:ascii="Times New Roman" w:hAnsi="Times New Roman"/>
          <w:sz w:val="20"/>
        </w:rPr>
        <w:t xml:space="preserve">Ryan Sansom </w:t>
      </w:r>
    </w:p>
    <w:p>
      <w:pPr>
        <w:pStyle w:val="TextBody"/>
        <w:bidi w:val="0"/>
        <w:spacing w:before="0" w:after="0"/>
        <w:jc w:val="left"/>
        <w:rPr>
          <w:rFonts w:ascii="Times New Roman" w:hAnsi="Times New Roman"/>
          <w:sz w:val="20"/>
        </w:rPr>
      </w:pPr>
      <w:r>
        <w:rPr>
          <w:rFonts w:ascii="Times New Roman" w:hAnsi="Times New Roman"/>
          <w:sz w:val="20"/>
        </w:rPr>
        <w:t xml:space="preserve">+1 617 937 2335 </w:t>
      </w:r>
    </w:p>
    <w:p>
      <w:pPr>
        <w:pStyle w:val="TextBody"/>
        <w:bidi w:val="0"/>
        <w:spacing w:before="0" w:after="0"/>
        <w:jc w:val="left"/>
        <w:rPr>
          <w:rFonts w:ascii="Times New Roman" w:hAnsi="Times New Roman"/>
          <w:sz w:val="20"/>
        </w:rPr>
      </w:pPr>
      <w:r>
        <w:rPr>
          <w:rFonts w:ascii="Times New Roman" w:hAnsi="Times New Roman"/>
          <w:sz w:val="20"/>
        </w:rPr>
        <w:t xml:space="preserve">rsansom@cooley.com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14, 2026 </w:t>
      </w:r>
    </w:p>
    <w:p>
      <w:pPr>
        <w:pStyle w:val="TextBody"/>
        <w:bidi w:val="0"/>
        <w:spacing w:before="240" w:after="0"/>
        <w:jc w:val="left"/>
        <w:rPr>
          <w:rFonts w:ascii="Times New Roman" w:hAnsi="Times New Roman"/>
          <w:sz w:val="20"/>
        </w:rPr>
      </w:pPr>
      <w:r>
        <w:rPr>
          <w:rFonts w:ascii="Times New Roman" w:hAnsi="Times New Roman"/>
          <w:sz w:val="20"/>
        </w:rPr>
        <w:t xml:space="preserve">Delcath Systems, Inc. </w:t>
      </w:r>
    </w:p>
    <w:p>
      <w:pPr>
        <w:pStyle w:val="TextBody"/>
        <w:bidi w:val="0"/>
        <w:spacing w:before="0" w:after="0"/>
        <w:jc w:val="left"/>
        <w:rPr>
          <w:rFonts w:ascii="Times New Roman" w:hAnsi="Times New Roman"/>
          <w:sz w:val="20"/>
        </w:rPr>
      </w:pPr>
      <w:r>
        <w:rPr>
          <w:rFonts w:ascii="Times New Roman" w:hAnsi="Times New Roman"/>
          <w:sz w:val="20"/>
        </w:rPr>
        <w:t xml:space="preserve">566 Queensbury Avenue </w:t>
      </w:r>
    </w:p>
    <w:p>
      <w:pPr>
        <w:pStyle w:val="TextBody"/>
        <w:bidi w:val="0"/>
        <w:spacing w:before="0" w:after="0"/>
        <w:jc w:val="left"/>
        <w:rPr>
          <w:rFonts w:ascii="Times New Roman" w:hAnsi="Times New Roman"/>
          <w:sz w:val="20"/>
        </w:rPr>
      </w:pPr>
      <w:r>
        <w:rPr>
          <w:rFonts w:ascii="Times New Roman" w:hAnsi="Times New Roman"/>
          <w:sz w:val="20"/>
        </w:rPr>
        <w:t xml:space="preserve">Queensbury, New York 12804 </w:t>
      </w:r>
    </w:p>
    <w:p>
      <w:pPr>
        <w:pStyle w:val="TextBody"/>
        <w:bidi w:val="0"/>
        <w:spacing w:before="360" w:after="0"/>
        <w:jc w:val="left"/>
        <w:rPr>
          <w:rFonts w:ascii="Times New Roman" w:hAnsi="Times New Roman"/>
          <w:b/>
          <w:sz w:val="20"/>
        </w:rPr>
      </w:pPr>
      <w:r>
        <w:rPr>
          <w:rFonts w:ascii="Times New Roman" w:hAnsi="Times New Roman"/>
          <w:b/>
          <w:sz w:val="20"/>
        </w:rPr>
        <w:t xml:space="preserve">Re: Delcath Systems, Inc. – Registration on Form S-8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Delcath Systems, Inc., a Delaware corporation (the “</w:t>
      </w:r>
      <w:r>
        <w:rPr>
          <w:rFonts w:ascii="Times New Roman" w:hAnsi="Times New Roman"/>
          <w:b/>
          <w:i/>
          <w:sz w:val="20"/>
        </w:rPr>
        <w:t>Company</w:t>
      </w:r>
      <w:r>
        <w:rPr>
          <w:rFonts w:ascii="Times New Roman" w:hAnsi="Times New Roman"/>
          <w:sz w:val="20"/>
        </w:rPr>
        <w:t>”), in connection with the filing by the Company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(the “</w:t>
      </w:r>
      <w:r>
        <w:rPr>
          <w:rFonts w:ascii="Times New Roman" w:hAnsi="Times New Roman"/>
          <w:b/>
          <w:i/>
          <w:sz w:val="20"/>
        </w:rPr>
        <w:t>Commission</w:t>
      </w:r>
      <w:r>
        <w:rPr>
          <w:rFonts w:ascii="Times New Roman" w:hAnsi="Times New Roman"/>
          <w:sz w:val="20"/>
        </w:rPr>
        <w:t>”) covering the offering by the Company of up to 1,800,000 shares (the “</w:t>
      </w:r>
      <w:r>
        <w:rPr>
          <w:rFonts w:ascii="Times New Roman" w:hAnsi="Times New Roman"/>
          <w:b/>
          <w:i/>
          <w:sz w:val="20"/>
        </w:rPr>
        <w:t>Shares</w:t>
      </w:r>
      <w:r>
        <w:rPr>
          <w:rFonts w:ascii="Times New Roman" w:hAnsi="Times New Roman"/>
          <w:sz w:val="20"/>
        </w:rPr>
        <w:t>”) of its common stock, par value $0.01 per share (“</w:t>
      </w:r>
      <w:r>
        <w:rPr>
          <w:rFonts w:ascii="Times New Roman" w:hAnsi="Times New Roman"/>
          <w:b/>
          <w:i/>
          <w:sz w:val="20"/>
        </w:rPr>
        <w:t>Common Stock</w:t>
      </w:r>
      <w:r>
        <w:rPr>
          <w:rFonts w:ascii="Times New Roman" w:hAnsi="Times New Roman"/>
          <w:sz w:val="20"/>
        </w:rPr>
        <w:t>”) issuable pursuant to the Company’s Omnibus 2020 Equity Incentive Plan, as amended (the “</w:t>
      </w:r>
      <w:r>
        <w:rPr>
          <w:rFonts w:ascii="Times New Roman" w:hAnsi="Times New Roman"/>
          <w:b/>
          <w:i/>
          <w:sz w:val="20"/>
        </w:rPr>
        <w:t>2020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(a) the Registration Statement and related prospectus, (b) the 2020 Plan, (c) the Company’s certificate of incorporation and bylaws, each as currently in effect and (d) such other records, documents, opinions,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issued in accordance with the 2020 Plan, the Registration Statement and the related prospectus, will be validly issued, fully paid and nonassessable (except as to Shares issued pursuant to deferred payment arrangements, which will be fully paid and nonassessable when such deferred payments are made in full).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supplement this opinion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(t) 617 937 2300 (f): 617 937 2400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6"/>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August 14,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1"/>
        <w:gridCol w:w="61"/>
        <w:gridCol w:w="3640"/>
      </w:tblGrid>
      <w:tr>
        <w:trPr/>
        <w:tc>
          <w:tcPr>
            <w:tcW w:w="38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w:t>
            </w:r>
            <w:r>
              <w:rPr>
                <w:b/>
                <w:sz w:val="20"/>
              </w:rPr>
              <w:t>OOLEY</w:t>
            </w:r>
            <w:r>
              <w:rPr>
                <w:b/>
              </w:rPr>
              <w:t xml:space="preserve"> LLP</w:t>
            </w:r>
          </w:p>
        </w:tc>
      </w:tr>
      <w:tr>
        <w:trPr>
          <w:trHeight w:val="240" w:hRule="atLeast"/>
        </w:trPr>
        <w:tc>
          <w:tcPr>
            <w:tcW w:w="381" w:type="dxa"/>
            <w:tcBorders/>
            <w:vAlign w:val="center"/>
          </w:tcPr>
          <w:p>
            <w:pPr>
              <w:pStyle w:val="TableContents"/>
              <w:bidi w:val="0"/>
              <w:spacing w:before="0" w:after="283"/>
              <w:jc w:val="left"/>
              <w:rPr>
                <w:sz w:val="4"/>
                <w:szCs w:val="4"/>
              </w:rPr>
            </w:pPr>
            <w:r>
              <w:rPr>
                <w:sz w:val="4"/>
                <w:szCs w:val="4"/>
              </w:rPr>
            </w:r>
          </w:p>
        </w:tc>
        <w:tc>
          <w:tcPr>
            <w:tcW w:w="3701" w:type="dxa"/>
            <w:gridSpan w:val="2"/>
            <w:tcBorders/>
            <w:vAlign w:val="center"/>
          </w:tcPr>
          <w:p>
            <w:pPr>
              <w:pStyle w:val="TableContents"/>
              <w:bidi w:val="0"/>
              <w:spacing w:before="0" w:after="283"/>
              <w:jc w:val="left"/>
              <w:rPr>
                <w:sz w:val="4"/>
                <w:szCs w:val="4"/>
              </w:rPr>
            </w:pPr>
            <w:r>
              <w:rPr>
                <w:sz w:val="4"/>
                <w:szCs w:val="4"/>
              </w:rPr>
            </w:r>
          </w:p>
        </w:tc>
      </w:tr>
      <w:tr>
        <w:trPr/>
        <w:tc>
          <w:tcPr>
            <w:tcW w:w="38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Sansom</w:t>
            </w:r>
          </w:p>
        </w:tc>
      </w:tr>
      <w:tr>
        <w:trPr/>
        <w:tc>
          <w:tcPr>
            <w:tcW w:w="38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0" w:type="dxa"/>
            <w:tcBorders/>
          </w:tcPr>
          <w:p>
            <w:pPr>
              <w:pStyle w:val="TableContents"/>
              <w:bidi w:val="0"/>
              <w:spacing w:before="0" w:after="283"/>
              <w:jc w:val="left"/>
              <w:rPr/>
            </w:pPr>
            <w:r>
              <w:rPr/>
              <w:t>Ryan Sansom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500 Boylston Street, 14th Floor, Boston, MA (t) 617 937 2300 (f): 617 937 2400 cooley.com </w:t>
      </w:r>
    </w:p>
    <w:p>
      <w:pPr>
        <w:pStyle w:val="TextBody"/>
        <w:bidi w:val="0"/>
        <w:spacing w:before="0" w:after="0"/>
        <w:jc w:val="right"/>
        <w:rPr>
          <w:rFonts w:ascii="Times New Roman" w:hAnsi="Times New Roman"/>
          <w:b/>
          <w:sz w:val="20"/>
        </w:rPr>
      </w:pPr>
      <w:bookmarkStart w:id="7" w:name="d124476dex232.htm"/>
      <w:bookmarkStart w:id="8" w:name="ksd124476dex232"/>
      <w:bookmarkEnd w:id="7"/>
      <w:bookmarkEnd w:id="8"/>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February 26, 2026 with respect to the financial statements of Delcath Systems, Inc. for the year ended December 31, 2025 included in the Annual Report on Form 10-K. </w:t>
      </w:r>
    </w:p>
    <w:p>
      <w:pPr>
        <w:pStyle w:val="TextBody"/>
        <w:bidi w:val="0"/>
        <w:spacing w:before="240" w:after="0"/>
        <w:jc w:val="left"/>
        <w:rPr>
          <w:rFonts w:ascii="Times New Roman" w:hAnsi="Times New Roman"/>
          <w:sz w:val="20"/>
        </w:rPr>
      </w:pPr>
      <w:r>
        <w:rPr>
          <w:rFonts w:ascii="Times New Roman" w:hAnsi="Times New Roman"/>
          <w:sz w:val="20"/>
        </w:rPr>
        <w:t xml:space="preserve">/s/ CBIZ CPAS P.C. </w:t>
      </w:r>
    </w:p>
    <w:p>
      <w:pPr>
        <w:pStyle w:val="TextBody"/>
        <w:bidi w:val="0"/>
        <w:spacing w:before="240" w:after="0"/>
        <w:jc w:val="left"/>
        <w:rPr>
          <w:rFonts w:ascii="Times New Roman" w:hAnsi="Times New Roman"/>
          <w:sz w:val="20"/>
        </w:rPr>
      </w:pPr>
      <w:r>
        <w:rPr>
          <w:rFonts w:ascii="Times New Roman" w:hAnsi="Times New Roman"/>
          <w:sz w:val="20"/>
        </w:rPr>
        <w:t xml:space="preserve">Saddle Brook, NY </w:t>
      </w:r>
    </w:p>
    <w:p>
      <w:pPr>
        <w:pStyle w:val="TextBody"/>
        <w:bidi w:val="0"/>
        <w:spacing w:before="0" w:after="0"/>
        <w:jc w:val="left"/>
        <w:rPr>
          <w:rFonts w:ascii="Times New Roman" w:hAnsi="Times New Roman"/>
          <w:sz w:val="20"/>
        </w:rPr>
      </w:pPr>
      <w:r>
        <w:rPr>
          <w:rFonts w:ascii="Times New Roman" w:hAnsi="Times New Roman"/>
          <w:sz w:val="20"/>
        </w:rPr>
        <w:t xml:space="preserve">August 14, 2026 </w:t>
      </w:r>
    </w:p>
    <w:p>
      <w:pPr>
        <w:pStyle w:val="Normal"/>
        <w:bidi w:val="0"/>
        <w:spacing w:before="0" w:after="0"/>
        <w:jc w:val="left"/>
        <w:rPr>
          <w:sz w:val="4"/>
          <w:szCs w:val="4"/>
        </w:rPr>
      </w:pPr>
      <w:r>
        <w:rPr>
          <w:sz w:val="4"/>
          <w:szCs w:val="4"/>
        </w:rPr>
      </w:r>
      <w:bookmarkStart w:id="9" w:name="d124476dexfilingfees.htm"/>
      <w:bookmarkStart w:id="10" w:name="ksd124476dexfilingfees"/>
      <w:bookmarkStart w:id="11" w:name="d124476dexfilingfees.htm"/>
      <w:bookmarkStart w:id="12" w:name="ksd124476dexfilingfees"/>
      <w:bookmarkEnd w:id="11"/>
      <w:bookmarkEnd w:id="12"/>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DELCATH SYSTEMS,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4"/>
        <w:gridCol w:w="1079"/>
        <w:gridCol w:w="1289"/>
        <w:gridCol w:w="1198"/>
        <w:gridCol w:w="1202"/>
        <w:gridCol w:w="1694"/>
        <w:gridCol w:w="1126"/>
        <w:gridCol w:w="1422"/>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4"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9"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8"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0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9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4" w:type="dxa"/>
            <w:tcBorders/>
            <w:shd w:fill="E7E7E2" w:val="clear"/>
            <w:vAlign w:val="center"/>
          </w:tcPr>
          <w:p>
            <w:pPr>
              <w:pStyle w:val="TableContents"/>
              <w:bidi w:val="0"/>
              <w:spacing w:before="0" w:after="283"/>
              <w:jc w:val="left"/>
              <w:rPr/>
            </w:pPr>
            <w:r>
              <w:rPr/>
              <w:t xml:space="preserve">Equity </w:t>
            </w:r>
          </w:p>
        </w:tc>
        <w:tc>
          <w:tcPr>
            <w:tcW w:w="1079" w:type="dxa"/>
            <w:tcBorders/>
            <w:shd w:fill="E7E7E2" w:val="clear"/>
            <w:vAlign w:val="center"/>
          </w:tcPr>
          <w:p>
            <w:pPr>
              <w:pStyle w:val="TableContents"/>
              <w:bidi w:val="0"/>
              <w:spacing w:before="0" w:after="283"/>
              <w:jc w:val="left"/>
              <w:rPr/>
            </w:pPr>
            <w:r>
              <w:rPr/>
              <w:t xml:space="preserve">Omnibus 2020 Equity Incentive Plan Common Stock, par value $0.01 per share </w:t>
            </w:r>
          </w:p>
        </w:tc>
        <w:tc>
          <w:tcPr>
            <w:tcW w:w="1289" w:type="dxa"/>
            <w:tcBorders/>
            <w:shd w:fill="E7E7E2" w:val="clear"/>
            <w:vAlign w:val="center"/>
          </w:tcPr>
          <w:p>
            <w:pPr>
              <w:pStyle w:val="TableContents"/>
              <w:bidi w:val="0"/>
              <w:spacing w:before="0" w:after="283"/>
              <w:jc w:val="center"/>
              <w:rPr/>
            </w:pPr>
            <w:r>
              <w:rPr/>
              <w:t xml:space="preserve">Other </w:t>
            </w:r>
          </w:p>
        </w:tc>
        <w:tc>
          <w:tcPr>
            <w:tcW w:w="1198" w:type="dxa"/>
            <w:tcBorders/>
            <w:shd w:fill="E7E7E2" w:val="clear"/>
            <w:vAlign w:val="center"/>
          </w:tcPr>
          <w:p>
            <w:pPr>
              <w:pStyle w:val="TableContents"/>
              <w:bidi w:val="0"/>
              <w:spacing w:before="0" w:after="283"/>
              <w:jc w:val="right"/>
              <w:rPr/>
            </w:pPr>
            <w:r>
              <w:rPr/>
              <w:t xml:space="preserve">1,800,000 </w:t>
            </w:r>
          </w:p>
        </w:tc>
        <w:tc>
          <w:tcPr>
            <w:tcW w:w="1202" w:type="dxa"/>
            <w:tcBorders/>
            <w:shd w:fill="E7E7E2" w:val="clear"/>
            <w:vAlign w:val="center"/>
          </w:tcPr>
          <w:p>
            <w:pPr>
              <w:pStyle w:val="TableContents"/>
              <w:bidi w:val="0"/>
              <w:spacing w:before="0" w:after="283"/>
              <w:jc w:val="right"/>
              <w:rPr/>
            </w:pPr>
            <w:r>
              <w:rPr/>
              <w:t xml:space="preserve">$ 15.68 </w:t>
            </w:r>
          </w:p>
        </w:tc>
        <w:tc>
          <w:tcPr>
            <w:tcW w:w="1694" w:type="dxa"/>
            <w:tcBorders/>
            <w:shd w:fill="E7E7E2" w:val="clear"/>
            <w:vAlign w:val="center"/>
          </w:tcPr>
          <w:p>
            <w:pPr>
              <w:pStyle w:val="TableContents"/>
              <w:bidi w:val="0"/>
              <w:spacing w:before="0" w:after="283"/>
              <w:jc w:val="right"/>
              <w:rPr/>
            </w:pPr>
            <w:r>
              <w:rPr/>
              <w:t xml:space="preserve">$ 28,224,000.00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2" w:type="dxa"/>
            <w:tcBorders/>
            <w:shd w:fill="E7E7E2" w:val="clear"/>
            <w:vAlign w:val="center"/>
          </w:tcPr>
          <w:p>
            <w:pPr>
              <w:pStyle w:val="TableContents"/>
              <w:bidi w:val="0"/>
              <w:spacing w:before="0" w:after="283"/>
              <w:jc w:val="right"/>
              <w:rPr/>
            </w:pPr>
            <w:r>
              <w:rPr/>
              <w:t xml:space="preserve">$ 3,897.74 </w:t>
            </w:r>
          </w:p>
        </w:tc>
      </w:tr>
      <w:tr>
        <w:trPr/>
        <w:tc>
          <w:tcPr>
            <w:tcW w:w="4761" w:type="dxa"/>
            <w:gridSpan w:val="5"/>
            <w:tcBorders/>
            <w:vAlign w:val="center"/>
          </w:tcPr>
          <w:p>
            <w:pPr>
              <w:pStyle w:val="TableContents"/>
              <w:bidi w:val="0"/>
              <w:spacing w:before="0" w:after="0"/>
              <w:ind w:left="0" w:right="0" w:hanging="0"/>
              <w:jc w:val="right"/>
              <w:rPr/>
            </w:pPr>
            <w:r>
              <w:rPr/>
              <w:t>Total Offering Amounts:</w:t>
            </w:r>
          </w:p>
        </w:tc>
        <w:tc>
          <w:tcPr>
            <w:tcW w:w="120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0"/>
              <w:ind w:left="0" w:right="0" w:hanging="0"/>
              <w:jc w:val="right"/>
              <w:rPr/>
            </w:pPr>
            <w:bookmarkStart w:id="13" w:name="MaxAggtOfferingPrice"/>
            <w:bookmarkEnd w:id="13"/>
            <w:r>
              <w:rPr/>
              <w:t xml:space="preserve">$ 28,224,000.00 </w:t>
            </w:r>
          </w:p>
        </w:tc>
        <w:tc>
          <w:tcPr>
            <w:tcW w:w="1126" w:type="dxa"/>
            <w:tcBorders/>
            <w:vAlign w:val="center"/>
          </w:tcPr>
          <w:p>
            <w:pPr>
              <w:pStyle w:val="TableContents"/>
              <w:bidi w:val="0"/>
              <w:spacing w:before="0" w:after="283"/>
              <w:jc w:val="left"/>
              <w:rPr>
                <w:sz w:val="4"/>
                <w:szCs w:val="4"/>
              </w:rPr>
            </w:pPr>
            <w:r>
              <w:rPr>
                <w:sz w:val="4"/>
                <w:szCs w:val="4"/>
              </w:rPr>
            </w:r>
          </w:p>
        </w:tc>
        <w:tc>
          <w:tcPr>
            <w:tcW w:w="142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$ 3,897.74 </w:t>
            </w:r>
          </w:p>
        </w:tc>
      </w:tr>
      <w:tr>
        <w:trPr/>
        <w:tc>
          <w:tcPr>
            <w:tcW w:w="4761" w:type="dxa"/>
            <w:gridSpan w:val="5"/>
            <w:tcBorders/>
            <w:vAlign w:val="center"/>
          </w:tcPr>
          <w:p>
            <w:pPr>
              <w:pStyle w:val="TableContents"/>
              <w:bidi w:val="0"/>
              <w:spacing w:before="0" w:after="0"/>
              <w:ind w:left="0" w:right="0" w:hanging="0"/>
              <w:jc w:val="right"/>
              <w:rPr/>
            </w:pPr>
            <w:r>
              <w:rPr/>
              <w:t xml:space="preserve">Total Fee Offsets: </w:t>
            </w:r>
          </w:p>
        </w:tc>
        <w:tc>
          <w:tcPr>
            <w:tcW w:w="120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761" w:type="dxa"/>
            <w:gridSpan w:val="5"/>
            <w:tcBorders/>
            <w:vAlign w:val="center"/>
          </w:tcPr>
          <w:p>
            <w:pPr>
              <w:pStyle w:val="TableContents"/>
              <w:bidi w:val="0"/>
              <w:spacing w:before="0" w:after="0"/>
              <w:ind w:left="0" w:right="0" w:hanging="0"/>
              <w:jc w:val="right"/>
              <w:rPr/>
            </w:pPr>
            <w:r>
              <w:rPr/>
              <w:t xml:space="preserve">Net Fee Due: </w:t>
            </w:r>
          </w:p>
        </w:tc>
        <w:tc>
          <w:tcPr>
            <w:tcW w:w="120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0"/>
              <w:ind w:left="0" w:right="0" w:hanging="0"/>
              <w:jc w:val="right"/>
              <w:rPr/>
            </w:pPr>
            <w:bookmarkStart w:id="16" w:name="NetFeeAmt"/>
            <w:bookmarkEnd w:id="16"/>
            <w:r>
              <w:rPr/>
              <w:t xml:space="preserve">$ 3,897.74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7"/>
        <w:gridCol w:w="8707"/>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This Registration Statement registers the offer and sale of an aggregate of 1,800,000 shares of common stock of Delcath Systems, Inc. (the "Registrant"), par value $0.01, (the "Common Stock") issuable under the Registrant's 2020 Equity Incentive Plan, as amended. (2) Pursuant to Rule 416 under the Securities Act of 1933, as amended (the "Securities Act"), this Registration Statement shall also cover any additional shares of Common Stock which become issuable under the above-named plans by reason of any stock dividend, stock split, recapitalization or any other similar transaction effected without the receipt of consideration which results in an increase in the number of shares of our outstanding Common Stock. (3) Estimated solely for the purposes of calculating the registration fee pursuant to Rule 457(c) and Rule 457(h) under the Securities Act. The offering price per share and the aggregate offering price are based on (a) the average of the high and low prices of the Common Stock as reported on the Nasdaq Global Select Market on August 7, 2026.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2912/000119312520319024/d16217ds8.htm" TargetMode="External"/><Relationship Id="rId3" Type="http://schemas.openxmlformats.org/officeDocument/2006/relationships/hyperlink" Target="http://www.sec.gov/Archives/edgar/data/872912/000119312522002698/d267846ds8.htm" TargetMode="External"/><Relationship Id="rId4" Type="http://schemas.openxmlformats.org/officeDocument/2006/relationships/hyperlink" Target="http://www.sec.gov/Archives/edgar/data/872912/000119312523296807/d500537ds8.htm" TargetMode="External"/><Relationship Id="rId5" Type="http://schemas.openxmlformats.org/officeDocument/2006/relationships/hyperlink" Target="http://www.sec.gov/Archives/edgar/data/872912/000162828024030414/delcaths-8.htm" TargetMode="External"/><Relationship Id="rId6" Type="http://schemas.openxmlformats.org/officeDocument/2006/relationships/hyperlink" Target="http://www.sec.gov/Archives/edgar/data/872912/000119312525181923/d446811ds8.htm" TargetMode="External"/><Relationship Id="rId7" Type="http://schemas.openxmlformats.org/officeDocument/2006/relationships/hyperlink" Target="http://www.sec.gov/Archives/edgar/data/../../../ix?doc=/Archives/edgar/data/0000872912/000162828026012019/dcth-20251231.htm" TargetMode="External"/><Relationship Id="rId8" Type="http://schemas.openxmlformats.org/officeDocument/2006/relationships/hyperlink" Target="http://www.sec.gov/Archives/edgar/data/../../../ix?doc=/Archives/edgar/data/0000872912/000162828026031751/dcth-20260331.htm" TargetMode="External"/><Relationship Id="rId9" Type="http://schemas.openxmlformats.org/officeDocument/2006/relationships/hyperlink" Target="http://www.sec.gov/Archives/edgar/data/../../../ix?doc=/Archives/edgar/data/872912/000162828026053956/dcth-20260630.htm" TargetMode="External"/><Relationship Id="rId10" Type="http://schemas.openxmlformats.org/officeDocument/2006/relationships/hyperlink" Target="http://www.sec.gov/Archives/edgar/data/../../../ix?doc=/Archives/edgar/data/0000872912/000119312526010498/d52022d8k.htm" TargetMode="External"/><Relationship Id="rId11" Type="http://schemas.openxmlformats.org/officeDocument/2006/relationships/hyperlink" Target="http://www.sec.gov/Archives/edgar/data/../../../ix?doc=/Archives/edgar/data/0000872912/000119312526088527/d16781d8k.htm" TargetMode="External"/><Relationship Id="rId12" Type="http://schemas.openxmlformats.org/officeDocument/2006/relationships/hyperlink" Target="http://www.sec.gov/Archives/edgar/data/../../../ix?doc=/Archives/edgar/data/0000872912/000119312526222899/d94596d8k.htm" TargetMode="External"/><Relationship Id="rId13" Type="http://schemas.openxmlformats.org/officeDocument/2006/relationships/hyperlink" Target="http://www.sec.gov/Archives/edgar/data/../../../ix?doc=/Archives/edgar/data/872912/000119312526350536/d177016d8k.htm" TargetMode="External"/><Relationship Id="rId14" Type="http://schemas.openxmlformats.org/officeDocument/2006/relationships/hyperlink" Target="http://www.sec.gov/Archives/edgar/data/../../../ix?doc=/Archives/edgar/data/0000872912/000162828026022948/dcth-20260401.htm" TargetMode="External"/><Relationship Id="rId15" Type="http://schemas.openxmlformats.org/officeDocument/2006/relationships/hyperlink" Target="http://www.sec.gov/Archives/edgar/data/872912/000162828025010797/ex412-descriptionofsecurit.htm" TargetMode="External"/><Relationship Id="rId16" Type="http://schemas.openxmlformats.org/officeDocument/2006/relationships/hyperlink" Target="http://www.sec.gov/Archives/edgar/data/872912/000119312519254834/d794638dex31.htm" TargetMode="External"/><Relationship Id="rId17" Type="http://schemas.openxmlformats.org/officeDocument/2006/relationships/hyperlink" Target="http://www.sec.gov/Archives/edgar/data/872912/000119312519272633/d822396dex31.htm" TargetMode="External"/><Relationship Id="rId18" Type="http://schemas.openxmlformats.org/officeDocument/2006/relationships/hyperlink" Target="http://www.sec.gov/Archives/edgar/data/872912/000119312519272633/d822396dex32.htm" TargetMode="External"/><Relationship Id="rId19" Type="http://schemas.openxmlformats.org/officeDocument/2006/relationships/hyperlink" Target="http://www.sec.gov/Archives/edgar/data/872912/000119312519325987/d821924dex31.htm" TargetMode="External"/><Relationship Id="rId20" Type="http://schemas.openxmlformats.org/officeDocument/2006/relationships/hyperlink" Target="http://www.sec.gov/Archives/edgar/data/872912/000119312520302715/d81992dex31.htm" TargetMode="External"/><Relationship Id="rId21" Type="http://schemas.openxmlformats.org/officeDocument/2006/relationships/hyperlink" Target="http://www.sec.gov/Archives/edgar/data/872912/000119312523166068/d509714dex31.htm" TargetMode="External"/><Relationship Id="rId22" Type="http://schemas.openxmlformats.org/officeDocument/2006/relationships/hyperlink" Target="http://www.sec.gov/Archives/edgar/data/872912/000119312523084121/d377148dex31.htm" TargetMode="External"/><Relationship Id="rId23" Type="http://schemas.openxmlformats.org/officeDocument/2006/relationships/hyperlink" Target="http://www.sec.gov/Archives/edgar/data/872912/000119312526350536/d177016dex31.htm" TargetMode="External"/><Relationship Id="rId24" Type="http://schemas.openxmlformats.org/officeDocument/2006/relationships/hyperlink" Target="http://www.sec.gov/Archives/edgar/data/../../../ix?doc=/Archives/edgar/data/872912/000119312526222899/d94596d8k.htm" TargetMode="External"/><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2658</Words>
  <Characters>14185</Characters>
  <CharactersWithSpaces>16898</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