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6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Delcath Systems,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$0.01 par value per share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824661P401</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July 15, 2015</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0" w:lineRule="exact"/>
        <w:rPr>
          <w:sz w:val="24"/>
          <w:szCs w:val="24"/>
          <w:color w:val="auto"/>
        </w:rPr>
      </w:pPr>
    </w:p>
    <w:p>
      <w:pPr>
        <w:ind w:left="460" w:hanging="452"/>
        <w:spacing w:after="0" w:line="207" w:lineRule="exact"/>
        <w:tabs>
          <w:tab w:leader="none" w:pos="46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13d-1(b)</w:t>
      </w:r>
    </w:p>
    <w:p>
      <w:pPr>
        <w:spacing w:after="0" w:line="252" w:lineRule="exact"/>
        <w:rPr>
          <w:rFonts w:ascii="Arial" w:cs="Arial" w:eastAsia="Arial" w:hAnsi="Arial"/>
          <w:sz w:val="18"/>
          <w:szCs w:val="18"/>
          <w:color w:val="auto"/>
        </w:rPr>
      </w:pPr>
    </w:p>
    <w:p>
      <w:pPr>
        <w:ind w:left="460" w:hanging="452"/>
        <w:spacing w:after="0" w:line="207" w:lineRule="exact"/>
        <w:tabs>
          <w:tab w:leader="none" w:pos="46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13d-1(c)</w:t>
      </w:r>
    </w:p>
    <w:p>
      <w:pPr>
        <w:spacing w:after="0" w:line="252" w:lineRule="exact"/>
        <w:rPr>
          <w:rFonts w:ascii="Arial" w:cs="Arial" w:eastAsia="Arial" w:hAnsi="Arial"/>
          <w:sz w:val="18"/>
          <w:szCs w:val="18"/>
          <w:color w:val="auto"/>
        </w:rPr>
      </w:pPr>
    </w:p>
    <w:p>
      <w:pPr>
        <w:ind w:left="460" w:hanging="452"/>
        <w:spacing w:after="0" w:line="207" w:lineRule="exact"/>
        <w:tabs>
          <w:tab w:leader="none" w:pos="46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285" w:lineRule="exact"/>
        <w:rPr>
          <w:sz w:val="24"/>
          <w:szCs w:val="24"/>
          <w:color w:val="auto"/>
        </w:rPr>
      </w:pPr>
    </w:p>
    <w:p>
      <w:pPr>
        <w:ind w:left="460" w:right="12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9</w:t>
      </w:r>
    </w:p>
    <w:p>
      <w:pPr>
        <w:sectPr>
          <w:pgSz w:w="11900" w:h="16838" w:orient="portrait"/>
          <w:cols w:equalWidth="0" w:num="1">
            <w:col w:w="11400"/>
          </w:cols>
          <w:pgMar w:left="240" w:top="517"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24661P401</w:t>
      </w:r>
    </w:p>
    <w:p>
      <w:pPr>
        <w:spacing w:after="0" w:line="144"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240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Mitchell P. Kopin</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109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220" w:type="dxa"/>
            <w:vAlign w:val="bottom"/>
            <w:gridSpan w:val="2"/>
          </w:tcPr>
          <w:p>
            <w:pPr>
              <w:ind w:left="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9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9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United States of America</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2"/>
              </w:rPr>
              <w:t>5.</w:t>
            </w:r>
          </w:p>
        </w:tc>
        <w:tc>
          <w:tcPr>
            <w:tcW w:w="100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4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5"/>
              </w:rPr>
              <w:t>Number of</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140" w:type="dxa"/>
            <w:vAlign w:val="bottom"/>
            <w:tcBorders>
              <w:right w:val="single" w:sz="8" w:color="auto"/>
            </w:tcBorders>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92"/>
              </w:rPr>
              <w:t>6.</w:t>
            </w:r>
          </w:p>
        </w:tc>
        <w:tc>
          <w:tcPr>
            <w:tcW w:w="1000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740" w:type="dxa"/>
            <w:vAlign w:val="bottom"/>
            <w:tcBorders>
              <w:right w:val="single" w:sz="8" w:color="auto"/>
            </w:tcBorders>
            <w:gridSpan w:val="2"/>
            <w:vMerge w:val="restart"/>
          </w:tcPr>
          <w:p>
            <w:pPr>
              <w:jc w:val="center"/>
              <w:ind w:right="164"/>
              <w:spacing w:after="0"/>
              <w:rPr>
                <w:sz w:val="20"/>
                <w:szCs w:val="20"/>
                <w:color w:val="auto"/>
              </w:rPr>
            </w:pPr>
            <w:r>
              <w:rPr>
                <w:rFonts w:ascii="Arial" w:cs="Arial" w:eastAsia="Arial" w:hAnsi="Arial"/>
                <w:sz w:val="18"/>
                <w:szCs w:val="18"/>
                <w:color w:val="auto"/>
                <w:w w:val="84"/>
              </w:rPr>
              <w:t>Shares</w:t>
            </w:r>
          </w:p>
        </w:tc>
        <w:tc>
          <w:tcPr>
            <w:tcW w:w="80" w:type="dxa"/>
            <w:vAlign w:val="bottom"/>
          </w:tcPr>
          <w:p>
            <w:pPr>
              <w:spacing w:after="0"/>
              <w:rPr>
                <w:sz w:val="15"/>
                <w:szCs w:val="15"/>
                <w:color w:val="auto"/>
              </w:rPr>
            </w:pPr>
          </w:p>
        </w:tc>
        <w:tc>
          <w:tcPr>
            <w:tcW w:w="220" w:type="dxa"/>
            <w:vAlign w:val="bottom"/>
            <w:tcBorders>
              <w:right w:val="single" w:sz="8" w:color="auto"/>
            </w:tcBorders>
            <w:vMerge w:val="continue"/>
          </w:tcPr>
          <w:p>
            <w:pPr>
              <w:spacing w:after="0"/>
              <w:rPr>
                <w:sz w:val="15"/>
                <w:szCs w:val="15"/>
                <w:color w:val="auto"/>
              </w:rPr>
            </w:pPr>
          </w:p>
        </w:tc>
        <w:tc>
          <w:tcPr>
            <w:tcW w:w="10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740" w:type="dxa"/>
            <w:vAlign w:val="bottom"/>
            <w:tcBorders>
              <w:right w:val="single" w:sz="8" w:color="auto"/>
            </w:tcBorders>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10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00" w:type="dxa"/>
            <w:vAlign w:val="bottom"/>
            <w:vMerge w:val="restart"/>
          </w:tcPr>
          <w:p>
            <w:pPr>
              <w:ind w:left="100"/>
              <w:spacing w:after="0"/>
              <w:rPr>
                <w:sz w:val="20"/>
                <w:szCs w:val="20"/>
                <w:color w:val="auto"/>
              </w:rPr>
            </w:pPr>
            <w:r>
              <w:rPr>
                <w:rFonts w:ascii="Arial" w:cs="Arial" w:eastAsia="Arial" w:hAnsi="Arial"/>
                <w:sz w:val="22"/>
                <w:szCs w:val="22"/>
                <w:color w:val="auto"/>
              </w:rPr>
              <w:t>1,589,141</w:t>
            </w:r>
          </w:p>
        </w:tc>
        <w:tc>
          <w:tcPr>
            <w:tcW w:w="0" w:type="dxa"/>
            <w:vAlign w:val="bottom"/>
          </w:tcPr>
          <w:p>
            <w:pPr>
              <w:spacing w:after="0"/>
              <w:rPr>
                <w:sz w:val="1"/>
                <w:szCs w:val="1"/>
                <w:color w:val="auto"/>
              </w:rPr>
            </w:pPr>
          </w:p>
        </w:tc>
      </w:tr>
      <w:tr>
        <w:trPr>
          <w:trHeight w:val="230"/>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right w:val="single" w:sz="8" w:color="auto"/>
            </w:tcBorders>
          </w:tcPr>
          <w:p>
            <w:pPr>
              <w:jc w:val="center"/>
              <w:ind w:right="224"/>
              <w:spacing w:after="0" w:line="182" w:lineRule="exact"/>
              <w:rPr>
                <w:sz w:val="20"/>
                <w:szCs w:val="20"/>
                <w:color w:val="auto"/>
              </w:rPr>
            </w:pPr>
            <w:r>
              <w:rPr>
                <w:rFonts w:ascii="Arial" w:cs="Arial" w:eastAsia="Arial" w:hAnsi="Arial"/>
                <w:sz w:val="18"/>
                <w:szCs w:val="18"/>
                <w:color w:val="auto"/>
                <w:w w:val="87"/>
              </w:rPr>
              <w:t>Each</w:t>
            </w:r>
          </w:p>
        </w:tc>
        <w:tc>
          <w:tcPr>
            <w:tcW w:w="80" w:type="dxa"/>
            <w:vAlign w:val="bottom"/>
          </w:tcPr>
          <w:p>
            <w:pPr>
              <w:spacing w:after="0"/>
              <w:rPr>
                <w:sz w:val="15"/>
                <w:szCs w:val="15"/>
                <w:color w:val="auto"/>
              </w:rPr>
            </w:pPr>
          </w:p>
        </w:tc>
        <w:tc>
          <w:tcPr>
            <w:tcW w:w="22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w w:val="92"/>
              </w:rPr>
              <w:t>7.</w:t>
            </w:r>
          </w:p>
        </w:tc>
        <w:tc>
          <w:tcPr>
            <w:tcW w:w="1000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740" w:type="dxa"/>
            <w:vAlign w:val="bottom"/>
            <w:tcBorders>
              <w:right w:val="single" w:sz="8" w:color="auto"/>
            </w:tcBorders>
            <w:gridSpan w:val="2"/>
          </w:tcPr>
          <w:p>
            <w:pPr>
              <w:jc w:val="center"/>
              <w:ind w:right="164"/>
              <w:spacing w:after="0"/>
              <w:rPr>
                <w:sz w:val="20"/>
                <w:szCs w:val="20"/>
                <w:color w:val="auto"/>
              </w:rPr>
            </w:pPr>
            <w:r>
              <w:rPr>
                <w:rFonts w:ascii="Arial" w:cs="Arial" w:eastAsia="Arial" w:hAnsi="Arial"/>
                <w:sz w:val="18"/>
                <w:szCs w:val="18"/>
                <w:color w:val="auto"/>
                <w:w w:val="84"/>
              </w:rPr>
              <w:t>Person</w:t>
            </w:r>
          </w:p>
        </w:tc>
        <w:tc>
          <w:tcPr>
            <w:tcW w:w="8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0000" w:type="dxa"/>
            <w:vAlign w:val="bottom"/>
          </w:tcPr>
          <w:p>
            <w:pPr>
              <w:ind w:left="10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740" w:type="dxa"/>
            <w:vAlign w:val="bottom"/>
            <w:tcBorders>
              <w:right w:val="single" w:sz="8" w:color="auto"/>
            </w:tcBorders>
            <w:gridSpan w:val="2"/>
            <w:vMerge w:val="restart"/>
          </w:tcPr>
          <w:p>
            <w:pPr>
              <w:jc w:val="center"/>
              <w:ind w:right="164"/>
              <w:spacing w:after="0"/>
              <w:rPr>
                <w:sz w:val="20"/>
                <w:szCs w:val="20"/>
                <w:color w:val="auto"/>
              </w:rPr>
            </w:pPr>
            <w:r>
              <w:rPr>
                <w:rFonts w:ascii="Arial" w:cs="Arial" w:eastAsia="Arial" w:hAnsi="Arial"/>
                <w:sz w:val="18"/>
                <w:szCs w:val="18"/>
                <w:color w:val="auto"/>
                <w:w w:val="97"/>
              </w:rPr>
              <w:t>With:</w:t>
            </w: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10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740" w:type="dxa"/>
            <w:vAlign w:val="bottom"/>
            <w:tcBorders>
              <w:right w:val="single" w:sz="8" w:color="auto"/>
            </w:tcBorders>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92"/>
              </w:rPr>
              <w:t>8.</w:t>
            </w:r>
          </w:p>
        </w:tc>
        <w:tc>
          <w:tcPr>
            <w:tcW w:w="1000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Borders>
              <w:right w:val="single" w:sz="8" w:color="auto"/>
            </w:tcBorders>
            <w:vMerge w:val="continue"/>
          </w:tcPr>
          <w:p>
            <w:pPr>
              <w:spacing w:after="0"/>
              <w:rPr>
                <w:sz w:val="8"/>
                <w:szCs w:val="8"/>
                <w:color w:val="auto"/>
              </w:rPr>
            </w:pPr>
          </w:p>
        </w:tc>
        <w:tc>
          <w:tcPr>
            <w:tcW w:w="10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1,589,141</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980" w:type="dxa"/>
            <w:vAlign w:val="bottom"/>
            <w:gridSpan w:val="3"/>
          </w:tcPr>
          <w:p>
            <w:pPr>
              <w:ind w:left="80"/>
              <w:spacing w:after="0"/>
              <w:rPr>
                <w:sz w:val="20"/>
                <w:szCs w:val="20"/>
                <w:color w:val="auto"/>
              </w:rPr>
            </w:pPr>
            <w:r>
              <w:rPr>
                <w:rFonts w:ascii="Arial" w:cs="Arial" w:eastAsia="Arial" w:hAnsi="Arial"/>
                <w:sz w:val="18"/>
                <w:szCs w:val="18"/>
                <w:color w:val="auto"/>
              </w:rPr>
              <w:t>Aggregate</w:t>
            </w:r>
          </w:p>
        </w:tc>
        <w:tc>
          <w:tcPr>
            <w:tcW w:w="1000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1,589,141 (see Item 4)</w:t>
            </w: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24"/>
                <w:szCs w:val="24"/>
                <w:color w:val="auto"/>
              </w:rPr>
            </w:pPr>
          </w:p>
        </w:tc>
        <w:tc>
          <w:tcPr>
            <w:tcW w:w="1098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60" w:type="dxa"/>
            <w:vAlign w:val="bottom"/>
            <w:tcBorders>
              <w:bottom w:val="single" w:sz="8" w:color="auto"/>
              <w:right w:val="single" w:sz="8" w:color="auto"/>
            </w:tcBorders>
            <w:gridSpan w:val="2"/>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gridSpan w:val="2"/>
          </w:tcPr>
          <w:p>
            <w:pPr>
              <w:spacing w:after="0"/>
              <w:rPr>
                <w:sz w:val="16"/>
                <w:szCs w:val="16"/>
                <w:color w:val="auto"/>
              </w:rPr>
            </w:pPr>
          </w:p>
        </w:tc>
        <w:tc>
          <w:tcPr>
            <w:tcW w:w="10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6.8% (see Item 4)</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99"/>
              </w:rPr>
              <w:t>IN; HC</w:t>
            </w:r>
          </w:p>
        </w:tc>
        <w:tc>
          <w:tcPr>
            <w:tcW w:w="22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0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0" w:type="dxa"/>
            <w:vAlign w:val="bottom"/>
          </w:tcPr>
          <w:p>
            <w:pPr>
              <w:ind w:left="3860"/>
              <w:spacing w:after="0"/>
              <w:rPr>
                <w:sz w:val="20"/>
                <w:szCs w:val="20"/>
                <w:color w:val="auto"/>
              </w:rPr>
            </w:pPr>
            <w:r>
              <w:rPr>
                <w:rFonts w:ascii="Arial" w:cs="Arial" w:eastAsia="Arial" w:hAnsi="Arial"/>
                <w:sz w:val="18"/>
                <w:szCs w:val="18"/>
                <w:color w:val="auto"/>
              </w:rPr>
              <w:t>Page 2 of 9</w:t>
            </w: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24661P401</w:t>
      </w:r>
    </w:p>
    <w:p>
      <w:pPr>
        <w:spacing w:after="0" w:line="144"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240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Daniel B. Asher</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109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220" w:type="dxa"/>
            <w:vAlign w:val="bottom"/>
            <w:gridSpan w:val="2"/>
          </w:tcPr>
          <w:p>
            <w:pPr>
              <w:ind w:left="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9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9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United States of America</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2"/>
              </w:rPr>
              <w:t>5.</w:t>
            </w:r>
          </w:p>
        </w:tc>
        <w:tc>
          <w:tcPr>
            <w:tcW w:w="100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4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5"/>
              </w:rPr>
              <w:t>Number of</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140" w:type="dxa"/>
            <w:vAlign w:val="bottom"/>
            <w:tcBorders>
              <w:right w:val="single" w:sz="8" w:color="auto"/>
            </w:tcBorders>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92"/>
              </w:rPr>
              <w:t>6.</w:t>
            </w:r>
          </w:p>
        </w:tc>
        <w:tc>
          <w:tcPr>
            <w:tcW w:w="1000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740" w:type="dxa"/>
            <w:vAlign w:val="bottom"/>
            <w:tcBorders>
              <w:right w:val="single" w:sz="8" w:color="auto"/>
            </w:tcBorders>
            <w:gridSpan w:val="2"/>
            <w:vMerge w:val="restart"/>
          </w:tcPr>
          <w:p>
            <w:pPr>
              <w:jc w:val="center"/>
              <w:ind w:right="164"/>
              <w:spacing w:after="0"/>
              <w:rPr>
                <w:sz w:val="20"/>
                <w:szCs w:val="20"/>
                <w:color w:val="auto"/>
              </w:rPr>
            </w:pPr>
            <w:r>
              <w:rPr>
                <w:rFonts w:ascii="Arial" w:cs="Arial" w:eastAsia="Arial" w:hAnsi="Arial"/>
                <w:sz w:val="18"/>
                <w:szCs w:val="18"/>
                <w:color w:val="auto"/>
                <w:w w:val="84"/>
              </w:rPr>
              <w:t>Shares</w:t>
            </w:r>
          </w:p>
        </w:tc>
        <w:tc>
          <w:tcPr>
            <w:tcW w:w="80" w:type="dxa"/>
            <w:vAlign w:val="bottom"/>
          </w:tcPr>
          <w:p>
            <w:pPr>
              <w:spacing w:after="0"/>
              <w:rPr>
                <w:sz w:val="15"/>
                <w:szCs w:val="15"/>
                <w:color w:val="auto"/>
              </w:rPr>
            </w:pPr>
          </w:p>
        </w:tc>
        <w:tc>
          <w:tcPr>
            <w:tcW w:w="220" w:type="dxa"/>
            <w:vAlign w:val="bottom"/>
            <w:tcBorders>
              <w:right w:val="single" w:sz="8" w:color="auto"/>
            </w:tcBorders>
            <w:vMerge w:val="continue"/>
          </w:tcPr>
          <w:p>
            <w:pPr>
              <w:spacing w:after="0"/>
              <w:rPr>
                <w:sz w:val="15"/>
                <w:szCs w:val="15"/>
                <w:color w:val="auto"/>
              </w:rPr>
            </w:pPr>
          </w:p>
        </w:tc>
        <w:tc>
          <w:tcPr>
            <w:tcW w:w="10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740" w:type="dxa"/>
            <w:vAlign w:val="bottom"/>
            <w:tcBorders>
              <w:right w:val="single" w:sz="8" w:color="auto"/>
            </w:tcBorders>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10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00" w:type="dxa"/>
            <w:vAlign w:val="bottom"/>
            <w:vMerge w:val="restart"/>
          </w:tcPr>
          <w:p>
            <w:pPr>
              <w:ind w:left="100"/>
              <w:spacing w:after="0"/>
              <w:rPr>
                <w:sz w:val="20"/>
                <w:szCs w:val="20"/>
                <w:color w:val="auto"/>
              </w:rPr>
            </w:pPr>
            <w:r>
              <w:rPr>
                <w:rFonts w:ascii="Arial" w:cs="Arial" w:eastAsia="Arial" w:hAnsi="Arial"/>
                <w:sz w:val="22"/>
                <w:szCs w:val="22"/>
                <w:color w:val="auto"/>
              </w:rPr>
              <w:t>1,563,828</w:t>
            </w:r>
          </w:p>
        </w:tc>
        <w:tc>
          <w:tcPr>
            <w:tcW w:w="0" w:type="dxa"/>
            <w:vAlign w:val="bottom"/>
          </w:tcPr>
          <w:p>
            <w:pPr>
              <w:spacing w:after="0"/>
              <w:rPr>
                <w:sz w:val="1"/>
                <w:szCs w:val="1"/>
                <w:color w:val="auto"/>
              </w:rPr>
            </w:pPr>
          </w:p>
        </w:tc>
      </w:tr>
      <w:tr>
        <w:trPr>
          <w:trHeight w:val="230"/>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right w:val="single" w:sz="8" w:color="auto"/>
            </w:tcBorders>
          </w:tcPr>
          <w:p>
            <w:pPr>
              <w:jc w:val="center"/>
              <w:ind w:right="224"/>
              <w:spacing w:after="0" w:line="182" w:lineRule="exact"/>
              <w:rPr>
                <w:sz w:val="20"/>
                <w:szCs w:val="20"/>
                <w:color w:val="auto"/>
              </w:rPr>
            </w:pPr>
            <w:r>
              <w:rPr>
                <w:rFonts w:ascii="Arial" w:cs="Arial" w:eastAsia="Arial" w:hAnsi="Arial"/>
                <w:sz w:val="18"/>
                <w:szCs w:val="18"/>
                <w:color w:val="auto"/>
                <w:w w:val="87"/>
              </w:rPr>
              <w:t>Each</w:t>
            </w:r>
          </w:p>
        </w:tc>
        <w:tc>
          <w:tcPr>
            <w:tcW w:w="80" w:type="dxa"/>
            <w:vAlign w:val="bottom"/>
          </w:tcPr>
          <w:p>
            <w:pPr>
              <w:spacing w:after="0"/>
              <w:rPr>
                <w:sz w:val="15"/>
                <w:szCs w:val="15"/>
                <w:color w:val="auto"/>
              </w:rPr>
            </w:pPr>
          </w:p>
        </w:tc>
        <w:tc>
          <w:tcPr>
            <w:tcW w:w="22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w w:val="92"/>
              </w:rPr>
              <w:t>7.</w:t>
            </w:r>
          </w:p>
        </w:tc>
        <w:tc>
          <w:tcPr>
            <w:tcW w:w="1000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740" w:type="dxa"/>
            <w:vAlign w:val="bottom"/>
            <w:tcBorders>
              <w:right w:val="single" w:sz="8" w:color="auto"/>
            </w:tcBorders>
            <w:gridSpan w:val="2"/>
          </w:tcPr>
          <w:p>
            <w:pPr>
              <w:jc w:val="center"/>
              <w:ind w:right="164"/>
              <w:spacing w:after="0"/>
              <w:rPr>
                <w:sz w:val="20"/>
                <w:szCs w:val="20"/>
                <w:color w:val="auto"/>
              </w:rPr>
            </w:pPr>
            <w:r>
              <w:rPr>
                <w:rFonts w:ascii="Arial" w:cs="Arial" w:eastAsia="Arial" w:hAnsi="Arial"/>
                <w:sz w:val="18"/>
                <w:szCs w:val="18"/>
                <w:color w:val="auto"/>
                <w:w w:val="84"/>
              </w:rPr>
              <w:t>Person</w:t>
            </w:r>
          </w:p>
        </w:tc>
        <w:tc>
          <w:tcPr>
            <w:tcW w:w="8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0000" w:type="dxa"/>
            <w:vAlign w:val="bottom"/>
          </w:tcPr>
          <w:p>
            <w:pPr>
              <w:ind w:left="10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740" w:type="dxa"/>
            <w:vAlign w:val="bottom"/>
            <w:tcBorders>
              <w:right w:val="single" w:sz="8" w:color="auto"/>
            </w:tcBorders>
            <w:gridSpan w:val="2"/>
            <w:vMerge w:val="restart"/>
          </w:tcPr>
          <w:p>
            <w:pPr>
              <w:jc w:val="center"/>
              <w:ind w:right="164"/>
              <w:spacing w:after="0"/>
              <w:rPr>
                <w:sz w:val="20"/>
                <w:szCs w:val="20"/>
                <w:color w:val="auto"/>
              </w:rPr>
            </w:pPr>
            <w:r>
              <w:rPr>
                <w:rFonts w:ascii="Arial" w:cs="Arial" w:eastAsia="Arial" w:hAnsi="Arial"/>
                <w:sz w:val="18"/>
                <w:szCs w:val="18"/>
                <w:color w:val="auto"/>
                <w:w w:val="97"/>
              </w:rPr>
              <w:t>With:</w:t>
            </w: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10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740" w:type="dxa"/>
            <w:vAlign w:val="bottom"/>
            <w:tcBorders>
              <w:right w:val="single" w:sz="8" w:color="auto"/>
            </w:tcBorders>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92"/>
              </w:rPr>
              <w:t>8.</w:t>
            </w:r>
          </w:p>
        </w:tc>
        <w:tc>
          <w:tcPr>
            <w:tcW w:w="1000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Borders>
              <w:right w:val="single" w:sz="8" w:color="auto"/>
            </w:tcBorders>
            <w:vMerge w:val="continue"/>
          </w:tcPr>
          <w:p>
            <w:pPr>
              <w:spacing w:after="0"/>
              <w:rPr>
                <w:sz w:val="8"/>
                <w:szCs w:val="8"/>
                <w:color w:val="auto"/>
              </w:rPr>
            </w:pPr>
          </w:p>
        </w:tc>
        <w:tc>
          <w:tcPr>
            <w:tcW w:w="10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1,563,828</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980" w:type="dxa"/>
            <w:vAlign w:val="bottom"/>
            <w:gridSpan w:val="3"/>
          </w:tcPr>
          <w:p>
            <w:pPr>
              <w:ind w:left="80"/>
              <w:spacing w:after="0"/>
              <w:rPr>
                <w:sz w:val="20"/>
                <w:szCs w:val="20"/>
                <w:color w:val="auto"/>
              </w:rPr>
            </w:pPr>
            <w:r>
              <w:rPr>
                <w:rFonts w:ascii="Arial" w:cs="Arial" w:eastAsia="Arial" w:hAnsi="Arial"/>
                <w:sz w:val="18"/>
                <w:szCs w:val="18"/>
                <w:color w:val="auto"/>
              </w:rPr>
              <w:t>Aggregate</w:t>
            </w:r>
          </w:p>
        </w:tc>
        <w:tc>
          <w:tcPr>
            <w:tcW w:w="1000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1,563,828 (see Item 4)</w:t>
            </w: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24"/>
                <w:szCs w:val="24"/>
                <w:color w:val="auto"/>
              </w:rPr>
            </w:pPr>
          </w:p>
        </w:tc>
        <w:tc>
          <w:tcPr>
            <w:tcW w:w="1098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60" w:type="dxa"/>
            <w:vAlign w:val="bottom"/>
            <w:tcBorders>
              <w:bottom w:val="single" w:sz="8" w:color="auto"/>
              <w:right w:val="single" w:sz="8" w:color="auto"/>
            </w:tcBorders>
            <w:gridSpan w:val="2"/>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gridSpan w:val="2"/>
          </w:tcPr>
          <w:p>
            <w:pPr>
              <w:spacing w:after="0"/>
              <w:rPr>
                <w:sz w:val="16"/>
                <w:szCs w:val="16"/>
                <w:color w:val="auto"/>
              </w:rPr>
            </w:pPr>
          </w:p>
        </w:tc>
        <w:tc>
          <w:tcPr>
            <w:tcW w:w="10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6.7% (see Item 4)</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99"/>
              </w:rPr>
              <w:t>IN; HC</w:t>
            </w:r>
          </w:p>
        </w:tc>
        <w:tc>
          <w:tcPr>
            <w:tcW w:w="22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0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0" w:type="dxa"/>
            <w:vAlign w:val="bottom"/>
          </w:tcPr>
          <w:p>
            <w:pPr>
              <w:ind w:left="3860"/>
              <w:spacing w:after="0"/>
              <w:rPr>
                <w:sz w:val="20"/>
                <w:szCs w:val="20"/>
                <w:color w:val="auto"/>
              </w:rPr>
            </w:pPr>
            <w:r>
              <w:rPr>
                <w:rFonts w:ascii="Arial" w:cs="Arial" w:eastAsia="Arial" w:hAnsi="Arial"/>
                <w:sz w:val="18"/>
                <w:szCs w:val="18"/>
                <w:color w:val="auto"/>
              </w:rPr>
              <w:t>Page 3 of 9</w:t>
            </w: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24661P401</w:t>
      </w:r>
    </w:p>
    <w:p>
      <w:pPr>
        <w:spacing w:after="0" w:line="144"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240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Intracoastal Capital LLC</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10980" w:type="dxa"/>
            <w:vAlign w:val="bottom"/>
            <w:gridSpan w:val="3"/>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300" w:type="dxa"/>
            <w:vAlign w:val="bottom"/>
            <w:gridSpan w:val="2"/>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98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98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United States of America</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4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5"/>
              </w:rPr>
              <w:t>Number of</w:t>
            </w:r>
          </w:p>
        </w:tc>
        <w:tc>
          <w:tcPr>
            <w:tcW w:w="30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140" w:type="dxa"/>
            <w:vAlign w:val="bottom"/>
            <w:tcBorders>
              <w:right w:val="single" w:sz="8" w:color="auto"/>
            </w:tcBorders>
            <w:gridSpan w:val="3"/>
            <w:vMerge w:val="continue"/>
          </w:tcPr>
          <w:p>
            <w:pPr>
              <w:spacing w:after="0"/>
              <w:rPr>
                <w:sz w:val="4"/>
                <w:szCs w:val="4"/>
                <w:color w:val="auto"/>
              </w:rPr>
            </w:pPr>
          </w:p>
        </w:tc>
        <w:tc>
          <w:tcPr>
            <w:tcW w:w="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1000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740" w:type="dxa"/>
            <w:vAlign w:val="bottom"/>
            <w:tcBorders>
              <w:right w:val="single" w:sz="8" w:color="auto"/>
            </w:tcBorders>
            <w:gridSpan w:val="2"/>
            <w:vMerge w:val="restart"/>
          </w:tcPr>
          <w:p>
            <w:pPr>
              <w:jc w:val="center"/>
              <w:ind w:right="164"/>
              <w:spacing w:after="0"/>
              <w:rPr>
                <w:sz w:val="20"/>
                <w:szCs w:val="20"/>
                <w:color w:val="auto"/>
              </w:rPr>
            </w:pPr>
            <w:r>
              <w:rPr>
                <w:rFonts w:ascii="Arial" w:cs="Arial" w:eastAsia="Arial" w:hAnsi="Arial"/>
                <w:sz w:val="18"/>
                <w:szCs w:val="18"/>
                <w:color w:val="auto"/>
                <w:w w:val="84"/>
              </w:rPr>
              <w:t>Shares</w:t>
            </w:r>
          </w:p>
        </w:tc>
        <w:tc>
          <w:tcPr>
            <w:tcW w:w="300" w:type="dxa"/>
            <w:vAlign w:val="bottom"/>
            <w:tcBorders>
              <w:right w:val="single" w:sz="8" w:color="auto"/>
            </w:tcBorders>
            <w:vMerge w:val="continue"/>
          </w:tcPr>
          <w:p>
            <w:pPr>
              <w:spacing w:after="0"/>
              <w:rPr>
                <w:sz w:val="15"/>
                <w:szCs w:val="15"/>
                <w:color w:val="auto"/>
              </w:rPr>
            </w:pPr>
          </w:p>
        </w:tc>
        <w:tc>
          <w:tcPr>
            <w:tcW w:w="10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740" w:type="dxa"/>
            <w:vAlign w:val="bottom"/>
            <w:tcBorders>
              <w:right w:val="single" w:sz="8" w:color="auto"/>
            </w:tcBorders>
            <w:gridSpan w:val="2"/>
            <w:vMerge w:val="continue"/>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10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300" w:type="dxa"/>
            <w:vAlign w:val="bottom"/>
            <w:tcBorders>
              <w:right w:val="single" w:sz="8" w:color="auto"/>
            </w:tcBorders>
          </w:tcPr>
          <w:p>
            <w:pPr>
              <w:spacing w:after="0"/>
              <w:rPr>
                <w:sz w:val="18"/>
                <w:szCs w:val="18"/>
                <w:color w:val="auto"/>
              </w:rPr>
            </w:pPr>
          </w:p>
        </w:tc>
        <w:tc>
          <w:tcPr>
            <w:tcW w:w="10000" w:type="dxa"/>
            <w:vAlign w:val="bottom"/>
            <w:vMerge w:val="restart"/>
          </w:tcPr>
          <w:p>
            <w:pPr>
              <w:ind w:left="100"/>
              <w:spacing w:after="0"/>
              <w:rPr>
                <w:sz w:val="20"/>
                <w:szCs w:val="20"/>
                <w:color w:val="auto"/>
              </w:rPr>
            </w:pPr>
            <w:r>
              <w:rPr>
                <w:rFonts w:ascii="Arial" w:cs="Arial" w:eastAsia="Arial" w:hAnsi="Arial"/>
                <w:sz w:val="22"/>
                <w:szCs w:val="22"/>
                <w:color w:val="auto"/>
              </w:rPr>
              <w:t>1,563,828</w:t>
            </w:r>
          </w:p>
        </w:tc>
        <w:tc>
          <w:tcPr>
            <w:tcW w:w="0" w:type="dxa"/>
            <w:vAlign w:val="bottom"/>
          </w:tcPr>
          <w:p>
            <w:pPr>
              <w:spacing w:after="0"/>
              <w:rPr>
                <w:sz w:val="1"/>
                <w:szCs w:val="1"/>
                <w:color w:val="auto"/>
              </w:rPr>
            </w:pPr>
          </w:p>
        </w:tc>
      </w:tr>
      <w:tr>
        <w:trPr>
          <w:trHeight w:val="230"/>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300" w:type="dxa"/>
            <w:vAlign w:val="bottom"/>
            <w:tcBorders>
              <w:bottom w:val="single" w:sz="8" w:color="auto"/>
              <w:right w:val="single" w:sz="8" w:color="auto"/>
            </w:tcBorders>
          </w:tcPr>
          <w:p>
            <w:pPr>
              <w:spacing w:after="0"/>
              <w:rPr>
                <w:sz w:val="20"/>
                <w:szCs w:val="20"/>
                <w:color w:val="auto"/>
              </w:rPr>
            </w:pPr>
          </w:p>
        </w:tc>
        <w:tc>
          <w:tcPr>
            <w:tcW w:w="10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right w:val="single" w:sz="8" w:color="auto"/>
            </w:tcBorders>
          </w:tcPr>
          <w:p>
            <w:pPr>
              <w:jc w:val="center"/>
              <w:ind w:right="224"/>
              <w:spacing w:after="0" w:line="182" w:lineRule="exact"/>
              <w:rPr>
                <w:sz w:val="20"/>
                <w:szCs w:val="20"/>
                <w:color w:val="auto"/>
              </w:rPr>
            </w:pPr>
            <w:r>
              <w:rPr>
                <w:rFonts w:ascii="Arial" w:cs="Arial" w:eastAsia="Arial" w:hAnsi="Arial"/>
                <w:sz w:val="18"/>
                <w:szCs w:val="18"/>
                <w:color w:val="auto"/>
                <w:w w:val="87"/>
              </w:rPr>
              <w:t>Each</w:t>
            </w:r>
          </w:p>
        </w:tc>
        <w:tc>
          <w:tcPr>
            <w:tcW w:w="30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1000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300" w:type="dxa"/>
            <w:vAlign w:val="bottom"/>
            <w:tcBorders>
              <w:right w:val="single" w:sz="8" w:color="auto"/>
            </w:tcBorders>
          </w:tcPr>
          <w:p>
            <w:pPr>
              <w:spacing w:after="0"/>
              <w:rPr>
                <w:sz w:val="18"/>
                <w:szCs w:val="18"/>
                <w:color w:val="auto"/>
              </w:rPr>
            </w:pPr>
          </w:p>
        </w:tc>
        <w:tc>
          <w:tcPr>
            <w:tcW w:w="10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740" w:type="dxa"/>
            <w:vAlign w:val="bottom"/>
            <w:tcBorders>
              <w:right w:val="single" w:sz="8" w:color="auto"/>
            </w:tcBorders>
            <w:gridSpan w:val="2"/>
          </w:tcPr>
          <w:p>
            <w:pPr>
              <w:jc w:val="center"/>
              <w:ind w:right="164"/>
              <w:spacing w:after="0"/>
              <w:rPr>
                <w:sz w:val="20"/>
                <w:szCs w:val="20"/>
                <w:color w:val="auto"/>
              </w:rPr>
            </w:pPr>
            <w:r>
              <w:rPr>
                <w:rFonts w:ascii="Arial" w:cs="Arial" w:eastAsia="Arial" w:hAnsi="Arial"/>
                <w:sz w:val="18"/>
                <w:szCs w:val="18"/>
                <w:color w:val="auto"/>
                <w:w w:val="84"/>
              </w:rPr>
              <w:t>Person</w:t>
            </w:r>
          </w:p>
        </w:tc>
        <w:tc>
          <w:tcPr>
            <w:tcW w:w="300" w:type="dxa"/>
            <w:vAlign w:val="bottom"/>
            <w:tcBorders>
              <w:right w:val="single" w:sz="8" w:color="auto"/>
            </w:tcBorders>
          </w:tcPr>
          <w:p>
            <w:pPr>
              <w:spacing w:after="0"/>
              <w:rPr>
                <w:sz w:val="20"/>
                <w:szCs w:val="20"/>
                <w:color w:val="auto"/>
              </w:rPr>
            </w:pPr>
          </w:p>
        </w:tc>
        <w:tc>
          <w:tcPr>
            <w:tcW w:w="10000" w:type="dxa"/>
            <w:vAlign w:val="bottom"/>
          </w:tcPr>
          <w:p>
            <w:pPr>
              <w:ind w:left="10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740" w:type="dxa"/>
            <w:vAlign w:val="bottom"/>
            <w:tcBorders>
              <w:right w:val="single" w:sz="8" w:color="auto"/>
            </w:tcBorders>
            <w:gridSpan w:val="2"/>
            <w:vMerge w:val="restart"/>
          </w:tcPr>
          <w:p>
            <w:pPr>
              <w:jc w:val="center"/>
              <w:ind w:right="164"/>
              <w:spacing w:after="0"/>
              <w:rPr>
                <w:sz w:val="20"/>
                <w:szCs w:val="20"/>
                <w:color w:val="auto"/>
              </w:rPr>
            </w:pPr>
            <w:r>
              <w:rPr>
                <w:rFonts w:ascii="Arial" w:cs="Arial" w:eastAsia="Arial" w:hAnsi="Arial"/>
                <w:sz w:val="18"/>
                <w:szCs w:val="18"/>
                <w:color w:val="auto"/>
                <w:w w:val="97"/>
              </w:rPr>
              <w:t>With:</w:t>
            </w:r>
          </w:p>
        </w:tc>
        <w:tc>
          <w:tcPr>
            <w:tcW w:w="300" w:type="dxa"/>
            <w:vAlign w:val="bottom"/>
            <w:tcBorders>
              <w:bottom w:val="single" w:sz="8" w:color="auto"/>
              <w:right w:val="single" w:sz="8" w:color="auto"/>
            </w:tcBorders>
          </w:tcPr>
          <w:p>
            <w:pPr>
              <w:spacing w:after="0"/>
              <w:rPr>
                <w:sz w:val="6"/>
                <w:szCs w:val="6"/>
                <w:color w:val="auto"/>
              </w:rPr>
            </w:pPr>
          </w:p>
        </w:tc>
        <w:tc>
          <w:tcPr>
            <w:tcW w:w="10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740" w:type="dxa"/>
            <w:vAlign w:val="bottom"/>
            <w:tcBorders>
              <w:right w:val="single" w:sz="8" w:color="auto"/>
            </w:tcBorders>
            <w:gridSpan w:val="2"/>
            <w:vMerge w:val="continue"/>
          </w:tcPr>
          <w:p>
            <w:pPr>
              <w:spacing w:after="0"/>
              <w:rPr>
                <w:sz w:val="11"/>
                <w:szCs w:val="11"/>
                <w:color w:val="auto"/>
              </w:rPr>
            </w:pPr>
          </w:p>
        </w:tc>
        <w:tc>
          <w:tcPr>
            <w:tcW w:w="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1000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300" w:type="dxa"/>
            <w:vAlign w:val="bottom"/>
            <w:tcBorders>
              <w:right w:val="single" w:sz="8" w:color="auto"/>
            </w:tcBorders>
            <w:vMerge w:val="continue"/>
          </w:tcPr>
          <w:p>
            <w:pPr>
              <w:spacing w:after="0"/>
              <w:rPr>
                <w:sz w:val="8"/>
                <w:szCs w:val="8"/>
                <w:color w:val="auto"/>
              </w:rPr>
            </w:pPr>
          </w:p>
        </w:tc>
        <w:tc>
          <w:tcPr>
            <w:tcW w:w="10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1,563,828</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1000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1,563,828 (see Item 4)</w:t>
            </w: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24"/>
                <w:szCs w:val="24"/>
                <w:color w:val="auto"/>
              </w:rPr>
            </w:pPr>
          </w:p>
        </w:tc>
        <w:tc>
          <w:tcPr>
            <w:tcW w:w="10980" w:type="dxa"/>
            <w:vAlign w:val="bottom"/>
            <w:gridSpan w:val="3"/>
          </w:tcPr>
          <w:p>
            <w:pPr>
              <w:ind w:left="8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60" w:type="dxa"/>
            <w:vAlign w:val="bottom"/>
            <w:tcBorders>
              <w:bottom w:val="single" w:sz="8" w:color="auto"/>
              <w:right w:val="single" w:sz="8" w:color="auto"/>
            </w:tcBorders>
            <w:gridSpan w:val="2"/>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6.7% (see Item 4)</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30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0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0" w:type="dxa"/>
            <w:vAlign w:val="bottom"/>
          </w:tcPr>
          <w:p>
            <w:pPr>
              <w:ind w:left="3860"/>
              <w:spacing w:after="0"/>
              <w:rPr>
                <w:sz w:val="20"/>
                <w:szCs w:val="20"/>
                <w:color w:val="auto"/>
              </w:rPr>
            </w:pPr>
            <w:r>
              <w:rPr>
                <w:rFonts w:ascii="Arial" w:cs="Arial" w:eastAsia="Arial" w:hAnsi="Arial"/>
                <w:sz w:val="18"/>
                <w:szCs w:val="18"/>
                <w:color w:val="auto"/>
              </w:rPr>
              <w:t>Page 4 of 9</w:t>
            </w: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Name of Issuer</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Delcath Systems, Inc. (the “</w:t>
      </w:r>
      <w:r>
        <w:rPr>
          <w:rFonts w:ascii="Arial" w:cs="Arial" w:eastAsia="Arial" w:hAnsi="Arial"/>
          <w:sz w:val="18"/>
          <w:szCs w:val="18"/>
          <w:b w:val="1"/>
          <w:bCs w:val="1"/>
          <w:color w:val="auto"/>
        </w:rPr>
        <w:t>Issuer</w:t>
      </w:r>
      <w:r>
        <w:rPr>
          <w:rFonts w:ascii="Arial" w:cs="Arial" w:eastAsia="Arial" w:hAnsi="Arial"/>
          <w:sz w:val="18"/>
          <w:szCs w:val="18"/>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Address of Issuer’s Principal Executive Offices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1301 Avenue of the Americas, 43</w:t>
      </w:r>
      <w:r>
        <w:rPr>
          <w:rFonts w:ascii="Arial" w:cs="Arial" w:eastAsia="Arial" w:hAnsi="Arial"/>
          <w:sz w:val="15"/>
          <w:szCs w:val="15"/>
          <w:color w:val="auto"/>
        </w:rPr>
        <w:t>rd</w:t>
      </w:r>
      <w:r>
        <w:rPr>
          <w:rFonts w:ascii="Arial" w:cs="Arial" w:eastAsia="Arial" w:hAnsi="Arial"/>
          <w:sz w:val="18"/>
          <w:szCs w:val="18"/>
          <w:color w:val="auto"/>
        </w:rPr>
        <w:t xml:space="preserve"> Floor</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10019</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700" w:hanging="23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117" w:lineRule="exact"/>
        <w:rPr>
          <w:rFonts w:ascii="Arial" w:cs="Arial" w:eastAsia="Arial" w:hAnsi="Arial"/>
          <w:sz w:val="18"/>
          <w:szCs w:val="18"/>
          <w:color w:val="auto"/>
        </w:rPr>
      </w:pPr>
    </w:p>
    <w:p>
      <w:pPr>
        <w:ind w:left="700" w:hanging="23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This Schedule 13G is being filed on behalf of (i) Mitchell P. Kopin, an individual who is a citizen of the United States of America (“</w:t>
      </w:r>
      <w:r>
        <w:rPr>
          <w:rFonts w:ascii="Arial" w:cs="Arial" w:eastAsia="Arial" w:hAnsi="Arial"/>
          <w:sz w:val="17"/>
          <w:szCs w:val="17"/>
          <w:b w:val="1"/>
          <w:bCs w:val="1"/>
          <w:color w:val="auto"/>
        </w:rPr>
        <w:t>Mr.</w:t>
      </w:r>
    </w:p>
    <w:p>
      <w:pPr>
        <w:spacing w:after="0" w:line="39" w:lineRule="exact"/>
        <w:rPr>
          <w:sz w:val="20"/>
          <w:szCs w:val="20"/>
          <w:color w:val="auto"/>
        </w:rPr>
      </w:pPr>
    </w:p>
    <w:p>
      <w:pPr>
        <w:ind w:left="920" w:right="60"/>
        <w:spacing w:after="0" w:line="290" w:lineRule="auto"/>
        <w:rPr>
          <w:sz w:val="20"/>
          <w:szCs w:val="20"/>
          <w:color w:val="auto"/>
        </w:rPr>
      </w:pPr>
      <w:r>
        <w:rPr>
          <w:rFonts w:ascii="Arial" w:cs="Arial" w:eastAsia="Arial" w:hAnsi="Arial"/>
          <w:sz w:val="17"/>
          <w:szCs w:val="17"/>
          <w:b w:val="1"/>
          <w:bCs w:val="1"/>
          <w:color w:val="auto"/>
        </w:rPr>
        <w:t>Kopin</w:t>
      </w:r>
      <w:r>
        <w:rPr>
          <w:rFonts w:ascii="Arial" w:cs="Arial" w:eastAsia="Arial" w:hAnsi="Arial"/>
          <w:sz w:val="17"/>
          <w:szCs w:val="17"/>
          <w:color w:val="auto"/>
        </w:rPr>
        <w:t>”), (ii) Daniel B. Asher, an individual who is a citizen of the United States of America (“</w:t>
      </w:r>
      <w:r>
        <w:rPr>
          <w:rFonts w:ascii="Arial" w:cs="Arial" w:eastAsia="Arial" w:hAnsi="Arial"/>
          <w:sz w:val="17"/>
          <w:szCs w:val="17"/>
          <w:b w:val="1"/>
          <w:bCs w:val="1"/>
          <w:color w:val="auto"/>
        </w:rPr>
        <w:t>Mr. Asher</w:t>
      </w:r>
      <w:r>
        <w:rPr>
          <w:rFonts w:ascii="Arial" w:cs="Arial" w:eastAsia="Arial" w:hAnsi="Arial"/>
          <w:sz w:val="17"/>
          <w:szCs w:val="17"/>
          <w:color w:val="auto"/>
        </w:rPr>
        <w:t>”) and (iii) Intracoastal Capital LLC, a</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limited liability company (“</w:t>
      </w:r>
      <w:r>
        <w:rPr>
          <w:rFonts w:ascii="Arial" w:cs="Arial" w:eastAsia="Arial" w:hAnsi="Arial"/>
          <w:sz w:val="17"/>
          <w:szCs w:val="17"/>
          <w:b w:val="1"/>
          <w:bCs w:val="1"/>
          <w:color w:val="auto"/>
        </w:rPr>
        <w:t>Intracoastal</w:t>
      </w:r>
      <w:r>
        <w:rPr>
          <w:rFonts w:ascii="Arial" w:cs="Arial" w:eastAsia="Arial" w:hAnsi="Arial"/>
          <w:sz w:val="17"/>
          <w:szCs w:val="17"/>
          <w:color w:val="auto"/>
        </w:rPr>
        <w:t>” and together with Mr. Kopin and Mr. Asher, collectively the “</w:t>
      </w:r>
      <w:r>
        <w:rPr>
          <w:rFonts w:ascii="Arial" w:cs="Arial" w:eastAsia="Arial" w:hAnsi="Arial"/>
          <w:sz w:val="17"/>
          <w:szCs w:val="17"/>
          <w:b w:val="1"/>
          <w:bCs w:val="1"/>
          <w:color w:val="auto"/>
        </w:rPr>
        <w:t>Reporting Persons</w:t>
      </w:r>
      <w:r>
        <w:rPr>
          <w:rFonts w:ascii="Arial" w:cs="Arial" w:eastAsia="Arial" w:hAnsi="Arial"/>
          <w:sz w:val="17"/>
          <w:szCs w:val="17"/>
          <w:color w:val="auto"/>
        </w:rPr>
        <w:t>”).</w:t>
      </w:r>
    </w:p>
    <w:p>
      <w:pPr>
        <w:spacing w:after="0" w:line="49" w:lineRule="exact"/>
        <w:rPr>
          <w:sz w:val="20"/>
          <w:szCs w:val="20"/>
          <w:color w:val="auto"/>
        </w:rPr>
      </w:pPr>
    </w:p>
    <w:p>
      <w:pPr>
        <w:ind w:left="920" w:right="200"/>
        <w:spacing w:after="0" w:line="266" w:lineRule="auto"/>
        <w:rPr>
          <w:sz w:val="20"/>
          <w:szCs w:val="20"/>
          <w:color w:val="auto"/>
        </w:rPr>
      </w:pPr>
      <w:r>
        <w:rPr>
          <w:rFonts w:ascii="Arial" w:cs="Arial" w:eastAsia="Arial" w:hAnsi="Arial"/>
          <w:sz w:val="18"/>
          <w:szCs w:val="18"/>
          <w:color w:val="auto"/>
        </w:rPr>
        <w:t xml:space="preserve">The Reporting Persons have entered into a Joint Filing Agreement, a copy of which is filed with this Schedule 13G as </w:t>
      </w:r>
      <w:r>
        <w:rPr>
          <w:rFonts w:ascii="Arial" w:cs="Arial" w:eastAsia="Arial" w:hAnsi="Arial"/>
          <w:sz w:val="18"/>
          <w:szCs w:val="18"/>
          <w:b w:val="1"/>
          <w:bCs w:val="1"/>
          <w:u w:val="single" w:color="auto"/>
          <w:color w:val="auto"/>
        </w:rPr>
        <w:t>Exhibit 1</w:t>
      </w:r>
      <w:r>
        <w:rPr>
          <w:rFonts w:ascii="Arial" w:cs="Arial" w:eastAsia="Arial" w:hAnsi="Arial"/>
          <w:sz w:val="18"/>
          <w:szCs w:val="18"/>
          <w:color w:val="auto"/>
        </w:rPr>
        <w:t>, pursuant to which the Reporting Persons have agreed to file this Schedule 13G jointly in accordance with the provisions of Rule 13d-1(k) of the Securities Exchange Act of 1934, as amended.</w:t>
      </w:r>
    </w:p>
    <w:p>
      <w:pPr>
        <w:spacing w:after="0" w:line="7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principal business office of Mr. Kopin and Intracoastal is 245 Palm Trail, Delray Beach, Florida 33483.</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principal business office of Mr. Asher is 111 W. Jackson Boulevard, Suite 2000, Chicago, Illinois 60604.</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Title of Class of Securities</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Common stock, $0.01 par value per share, of the Issuer (the “</w:t>
      </w:r>
      <w:r>
        <w:rPr>
          <w:rFonts w:ascii="Arial" w:cs="Arial" w:eastAsia="Arial" w:hAnsi="Arial"/>
          <w:sz w:val="18"/>
          <w:szCs w:val="18"/>
          <w:b w:val="1"/>
          <w:bCs w:val="1"/>
          <w:color w:val="auto"/>
        </w:rPr>
        <w:t>Common Stock</w:t>
      </w:r>
      <w:r>
        <w:rPr>
          <w:rFonts w:ascii="Arial" w:cs="Arial" w:eastAsia="Arial" w:hAnsi="Arial"/>
          <w:sz w:val="18"/>
          <w:szCs w:val="18"/>
          <w:color w:val="auto"/>
        </w:rPr>
        <w:t>”).</w:t>
      </w:r>
    </w:p>
    <w:p>
      <w:pPr>
        <w:spacing w:after="0" w:line="121" w:lineRule="exact"/>
        <w:rPr>
          <w:sz w:val="20"/>
          <w:szCs w:val="20"/>
          <w:color w:val="auto"/>
        </w:rPr>
      </w:pPr>
    </w:p>
    <w:p>
      <w:pPr>
        <w:ind w:left="920" w:right="9520" w:hanging="456"/>
        <w:spacing w:after="0" w:line="483" w:lineRule="auto"/>
        <w:tabs>
          <w:tab w:leader="none" w:pos="708" w:val="left"/>
        </w:tabs>
        <w:numPr>
          <w:ilvl w:val="0"/>
          <w:numId w:val="4"/>
        </w:numPr>
        <w:rPr>
          <w:rFonts w:ascii="Arial" w:cs="Arial" w:eastAsia="Arial" w:hAnsi="Arial"/>
          <w:sz w:val="16"/>
          <w:szCs w:val="16"/>
          <w:color w:val="auto"/>
        </w:rPr>
      </w:pPr>
      <w:r>
        <w:rPr>
          <w:rFonts w:ascii="Arial" w:cs="Arial" w:eastAsia="Arial" w:hAnsi="Arial"/>
          <w:sz w:val="16"/>
          <w:szCs w:val="16"/>
          <w:color w:val="auto"/>
        </w:rPr>
        <w:t>CUSIP Number 24661P401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121" w:lineRule="exact"/>
        <w:rPr>
          <w:sz w:val="20"/>
          <w:szCs w:val="20"/>
          <w:color w:val="auto"/>
        </w:rPr>
      </w:pPr>
    </w:p>
    <w:p>
      <w:pPr>
        <w:ind w:left="700" w:hanging="23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and (b):</w:t>
      </w:r>
    </w:p>
    <w:p>
      <w:pPr>
        <w:spacing w:after="0" w:line="117" w:lineRule="exact"/>
        <w:rPr>
          <w:rFonts w:ascii="Arial" w:cs="Arial" w:eastAsia="Arial" w:hAnsi="Arial"/>
          <w:sz w:val="18"/>
          <w:szCs w:val="18"/>
          <w:color w:val="auto"/>
        </w:rPr>
      </w:pPr>
    </w:p>
    <w:p>
      <w:pPr>
        <w:ind w:left="460" w:firstLine="443"/>
        <w:spacing w:after="0" w:line="255" w:lineRule="auto"/>
        <w:tabs>
          <w:tab w:leader="none" w:pos="1113" w:val="left"/>
        </w:tabs>
        <w:numPr>
          <w:ilvl w:val="1"/>
          <w:numId w:val="5"/>
        </w:numPr>
        <w:rPr>
          <w:rFonts w:ascii="Arial" w:cs="Arial" w:eastAsia="Arial" w:hAnsi="Arial"/>
          <w:sz w:val="18"/>
          <w:szCs w:val="18"/>
          <w:color w:val="auto"/>
        </w:rPr>
      </w:pPr>
      <w:r>
        <w:rPr>
          <w:rFonts w:ascii="Arial" w:cs="Arial" w:eastAsia="Arial" w:hAnsi="Arial"/>
          <w:sz w:val="18"/>
          <w:szCs w:val="18"/>
          <w:color w:val="auto"/>
        </w:rPr>
        <w:t>Immediately following the pricing of the underwritten offering described in the 424B4 filed by the Issuer with the Securities and Exchange Commission on July 17, 2015 (the “</w:t>
      </w:r>
      <w:r>
        <w:rPr>
          <w:rFonts w:ascii="Arial" w:cs="Arial" w:eastAsia="Arial" w:hAnsi="Arial"/>
          <w:sz w:val="18"/>
          <w:szCs w:val="18"/>
          <w:b w:val="1"/>
          <w:bCs w:val="1"/>
          <w:color w:val="auto"/>
        </w:rPr>
        <w:t>Offering</w:t>
      </w:r>
      <w:r>
        <w:rPr>
          <w:rFonts w:ascii="Arial" w:cs="Arial" w:eastAsia="Arial" w:hAnsi="Arial"/>
          <w:sz w:val="18"/>
          <w:szCs w:val="18"/>
          <w:color w:val="auto"/>
        </w:rPr>
        <w:t>”), each of Mr. Asher and Intracoastal may have been deemed to beneficially own 1,374,584 shares of Common Stock, and all such shares of Common Stock in the aggregate represented beneficial ownership of approximately 9.99% of the Common Stock, based on (1) 12,385,016 shares of Common Stock outstanding as reported by the Issuer in such 424B, plus (2) 800,000 shares of Common Stock that were to be issued to Intracoastal at the consummation of the Offering, plus (3) 574,584 shares of Common Stock in the aggregate issuable upon exercise of warrants that were to be issued to Intracoastal at the closing of the Offering (collectively, the “</w:t>
      </w:r>
      <w:r>
        <w:rPr>
          <w:rFonts w:ascii="Arial" w:cs="Arial" w:eastAsia="Arial" w:hAnsi="Arial"/>
          <w:sz w:val="18"/>
          <w:szCs w:val="18"/>
          <w:b w:val="1"/>
          <w:bCs w:val="1"/>
          <w:color w:val="auto"/>
        </w:rPr>
        <w:t>Intracoastal Warrants</w:t>
      </w:r>
      <w:r>
        <w:rPr>
          <w:rFonts w:ascii="Arial" w:cs="Arial" w:eastAsia="Arial" w:hAnsi="Arial"/>
          <w:sz w:val="18"/>
          <w:szCs w:val="18"/>
          <w:color w:val="auto"/>
        </w:rPr>
        <w:t>”). The foregoing excludes (I)</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5 of 9</w:t>
      </w:r>
    </w:p>
    <w:p>
      <w:pPr>
        <w:sectPr>
          <w:pgSz w:w="11900" w:h="16838" w:orient="portrait"/>
          <w:cols w:equalWidth="0" w:num="1">
            <w:col w:w="11380"/>
          </w:cols>
          <w:pgMar w:left="240" w:top="270" w:right="279" w:bottom="1440" w:gutter="0" w:footer="0" w:header="0"/>
        </w:sectPr>
      </w:pPr>
    </w:p>
    <w:bookmarkStart w:id="5" w:name="page6"/>
    <w:bookmarkEnd w:id="5"/>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825,416 shares of Common Stock in the aggregate issuable upon exercise of the Intracoastal Warrants because each of the Intracoastal Warrants contain a blocker provision under which the holder thereof does not have the right to exercise such Intracoastal Warrant to the extent (but only to the extent) that such exercise would result in beneficial ownership by the holder thereof, together with its affiliates and any other persons acting as a group together with the holder or any of the holder’s affiliates, of more than 9.99% of the Common Stock and (II) 163,828 shares of Common Stock in the aggregate issuable upon exercise of other warrants held by Intracoastal (collectively, the “</w:t>
      </w:r>
      <w:r>
        <w:rPr>
          <w:rFonts w:ascii="Arial" w:cs="Arial" w:eastAsia="Arial" w:hAnsi="Arial"/>
          <w:sz w:val="16"/>
          <w:szCs w:val="16"/>
          <w:b w:val="1"/>
          <w:bCs w:val="1"/>
          <w:color w:val="auto"/>
        </w:rPr>
        <w:t>Other Intracoastal Warrants</w:t>
      </w:r>
      <w:r>
        <w:rPr>
          <w:rFonts w:ascii="Arial" w:cs="Arial" w:eastAsia="Arial" w:hAnsi="Arial"/>
          <w:sz w:val="16"/>
          <w:szCs w:val="16"/>
          <w:color w:val="auto"/>
        </w:rPr>
        <w:t>”) because each of the Other Intracoastal Warrants contain a blocker provision under which the holder thereof does not have the right to exercise such Other Intracoastal Warrant to the extent (but only to the extent) that such exercise would result in beneficial ownership by the holder thereof, together with its affiliates and any other persons acting as a group together with the holder or any of the holder’s affiliates, of more than 9.99% of the Common Stock. Without such blocker provisions, each of Mr. Asher and Intracoastal may be deemed to have beneficially own 2,363,828 shares of Common Stock.</w:t>
      </w:r>
    </w:p>
    <w:p>
      <w:pPr>
        <w:spacing w:after="0" w:line="59" w:lineRule="exact"/>
        <w:rPr>
          <w:sz w:val="20"/>
          <w:szCs w:val="20"/>
          <w:color w:val="auto"/>
        </w:rPr>
      </w:pPr>
    </w:p>
    <w:p>
      <w:pPr>
        <w:ind w:right="40" w:firstLine="443"/>
        <w:spacing w:after="0" w:line="284" w:lineRule="auto"/>
        <w:tabs>
          <w:tab w:leader="none" w:pos="703" w:val="left"/>
        </w:tabs>
        <w:numPr>
          <w:ilvl w:val="1"/>
          <w:numId w:val="6"/>
        </w:numPr>
        <w:rPr>
          <w:rFonts w:ascii="Arial" w:cs="Arial" w:eastAsia="Arial" w:hAnsi="Arial"/>
          <w:sz w:val="16"/>
          <w:szCs w:val="16"/>
          <w:color w:val="auto"/>
        </w:rPr>
      </w:pPr>
      <w:r>
        <w:rPr>
          <w:rFonts w:ascii="Arial" w:cs="Arial" w:eastAsia="Arial" w:hAnsi="Arial"/>
          <w:sz w:val="16"/>
          <w:szCs w:val="16"/>
          <w:color w:val="auto"/>
        </w:rPr>
        <w:t>Immediately following the pricing of the Offering, Mr. Kopin may have been deemed to beneficially own 1,374,584 shares of Common Stock, and all such shares of Common Stock in the aggregate represented beneficial ownership of approximately 9.99% of the Common Stock, based on (1) 12,385,016 shares of Common Stock outstanding as reported by the Issuer in such 424B, plus (2) 800,000 shares of Common Stock that were to be issued to Intracoastal at the consummation of the Offering, plus (3) 574,584 shares of Common Stock in the aggregate issuable upon exercise of the Intracoastal Warrants. The foregoing excludes (I) 825,416 shares of Common Stock in the aggregate issuable upon exercise of the Intracoastal Warrants because each of the Intracoastal Warrants contain a blocker provision under which the holder thereof does not have the right to exercise such Intracoastal Warrant to the extent (but only to the extent) that such exercise would result in beneficial ownership by the holder thereof, together with its affiliates and any other persons acting as a group together with the holder or any of the holder’s affiliates, of more than 9.99% of the Common Stock,</w:t>
      </w:r>
    </w:p>
    <w:p>
      <w:pPr>
        <w:spacing w:after="0" w:line="1" w:lineRule="exact"/>
        <w:rPr>
          <w:rFonts w:ascii="Arial" w:cs="Arial" w:eastAsia="Arial" w:hAnsi="Arial"/>
          <w:sz w:val="16"/>
          <w:szCs w:val="16"/>
          <w:color w:val="auto"/>
        </w:rPr>
      </w:pPr>
    </w:p>
    <w:p>
      <w:pPr>
        <w:ind w:firstLine="4"/>
        <w:spacing w:after="0" w:line="267" w:lineRule="auto"/>
        <w:tabs>
          <w:tab w:leader="none" w:pos="285" w:val="left"/>
        </w:tabs>
        <w:numPr>
          <w:ilvl w:val="0"/>
          <w:numId w:val="7"/>
        </w:numPr>
        <w:rPr>
          <w:rFonts w:ascii="Arial" w:cs="Arial" w:eastAsia="Arial" w:hAnsi="Arial"/>
          <w:sz w:val="17"/>
          <w:szCs w:val="17"/>
          <w:color w:val="auto"/>
        </w:rPr>
      </w:pPr>
      <w:r>
        <w:rPr>
          <w:rFonts w:ascii="Arial" w:cs="Arial" w:eastAsia="Arial" w:hAnsi="Arial"/>
          <w:sz w:val="17"/>
          <w:szCs w:val="17"/>
          <w:color w:val="auto"/>
        </w:rPr>
        <w:t>163,828 shares of Common Stock in the aggregate issuable upon exercise of the Other Intracoastal Warrants because each of the Other Intracoastal Warrants contain a blocker provision under which the holder thereof does not have the right to exercise such Other Intracoastal Warrant to the extent (but only to the extent) that such exercise would result in beneficial ownership by the holder thereof, together with its affiliates and any other persons acting as a group together with the holder or any of the holder’s affiliates, of more than 9.99% of the Common Stock and (III) 25,313 shares of Common Stock issuable in the aggregate upon exercise of warrants held by Cranshire Capital Master Fund, Ltd. (“</w:t>
      </w:r>
      <w:r>
        <w:rPr>
          <w:rFonts w:ascii="Arial" w:cs="Arial" w:eastAsia="Arial" w:hAnsi="Arial"/>
          <w:sz w:val="17"/>
          <w:szCs w:val="17"/>
          <w:b w:val="1"/>
          <w:bCs w:val="1"/>
          <w:color w:val="auto"/>
        </w:rPr>
        <w:t>Cranshire Master Fund</w:t>
      </w:r>
      <w:r>
        <w:rPr>
          <w:rFonts w:ascii="Arial" w:cs="Arial" w:eastAsia="Arial" w:hAnsi="Arial"/>
          <w:sz w:val="17"/>
          <w:szCs w:val="17"/>
          <w:color w:val="auto"/>
        </w:rPr>
        <w:t>”) (collectively, the “</w:t>
      </w:r>
      <w:r>
        <w:rPr>
          <w:rFonts w:ascii="Arial" w:cs="Arial" w:eastAsia="Arial" w:hAnsi="Arial"/>
          <w:sz w:val="17"/>
          <w:szCs w:val="17"/>
          <w:b w:val="1"/>
          <w:bCs w:val="1"/>
          <w:color w:val="auto"/>
        </w:rPr>
        <w:t>Cranshire Warrants</w:t>
      </w:r>
      <w:r>
        <w:rPr>
          <w:rFonts w:ascii="Arial" w:cs="Arial" w:eastAsia="Arial" w:hAnsi="Arial"/>
          <w:sz w:val="17"/>
          <w:szCs w:val="17"/>
          <w:color w:val="auto"/>
        </w:rPr>
        <w:t>”) because each of the Cranshire Warrants contain a blocker provision under which the holder thereof does not have the right to exercise such Cranshire Warrant to the extent (but only to the extent) that such exercise would result in beneficial ownership by the holder thereof, together with its affiliates and any other persons acting as a group together with the holder or any of the holder’s affiliates, of more than 9.99% of the Common Stock. Without such blocker provisions, Mr. Kopin may be deemed to have beneficially own 2,389,141 shares of Common Stock. Cranshire Capital Advisors, LLC (“</w:t>
      </w:r>
      <w:r>
        <w:rPr>
          <w:rFonts w:ascii="Arial" w:cs="Arial" w:eastAsia="Arial" w:hAnsi="Arial"/>
          <w:sz w:val="17"/>
          <w:szCs w:val="17"/>
          <w:b w:val="1"/>
          <w:bCs w:val="1"/>
          <w:color w:val="auto"/>
        </w:rPr>
        <w:t>CCA</w:t>
      </w:r>
      <w:r>
        <w:rPr>
          <w:rFonts w:ascii="Arial" w:cs="Arial" w:eastAsia="Arial" w:hAnsi="Arial"/>
          <w:sz w:val="17"/>
          <w:szCs w:val="17"/>
          <w:color w:val="auto"/>
        </w:rPr>
        <w:t>”) is the investment manager of Cranshire Capital Master Fund and consequently has voting control and investment discretion over the securities held by Cranshire Master Fund described above. Mr. Kopin, the president, the sole member and the sole member of the Board of Managers of CCA, has voting control over CCA. As a result, each of Mr. Kopin and CCA may be deemed to have beneficial ownership (as determined under Section 13(d) of the Securities Exchange Act of 1934, as amended) of the securities held by Cranshire Master Fund described above.</w:t>
      </w:r>
    </w:p>
    <w:p>
      <w:pPr>
        <w:spacing w:after="0" w:line="74" w:lineRule="exact"/>
        <w:rPr>
          <w:rFonts w:ascii="Arial" w:cs="Arial" w:eastAsia="Arial" w:hAnsi="Arial"/>
          <w:sz w:val="17"/>
          <w:szCs w:val="17"/>
          <w:color w:val="auto"/>
        </w:rPr>
      </w:pPr>
    </w:p>
    <w:p>
      <w:pPr>
        <w:ind w:right="200" w:firstLine="443"/>
        <w:spacing w:after="0" w:line="297" w:lineRule="auto"/>
        <w:tabs>
          <w:tab w:leader="none" w:pos="753" w:val="left"/>
        </w:tabs>
        <w:numPr>
          <w:ilvl w:val="1"/>
          <w:numId w:val="7"/>
        </w:numPr>
        <w:rPr>
          <w:rFonts w:ascii="Arial" w:cs="Arial" w:eastAsia="Arial" w:hAnsi="Arial"/>
          <w:sz w:val="16"/>
          <w:szCs w:val="16"/>
          <w:color w:val="auto"/>
        </w:rPr>
      </w:pPr>
      <w:r>
        <w:rPr>
          <w:rFonts w:ascii="Arial" w:cs="Arial" w:eastAsia="Arial" w:hAnsi="Arial"/>
          <w:sz w:val="16"/>
          <w:szCs w:val="16"/>
          <w:color w:val="auto"/>
        </w:rPr>
        <w:t>As of the close of business on July 27, 2015, each of Mr. Asher and Intracoastal may be deemed to beneficially own 1,563,828 shares of Common Stock, and all such shares of Common Stock in the aggregate represent beneficial ownership of approximately 6.7% of the Common Stock, based on (1) 12,385,016 shares of Common Stock outstanding as reported by the Issuer in such 424B, plus (2) 9,350,000 shares of Common Stock issued at the consummation of the Offering, plus (3) 1,400,000 shares of Common Stock in the aggregate issuable upon exercise of the Intracoastal Warrants, plus (4) 163,828 shares of Common Stock in the aggregate issuable upon exercise of the Other Intracoastal Warrants.</w:t>
      </w:r>
    </w:p>
    <w:p>
      <w:pPr>
        <w:spacing w:after="0" w:line="50" w:lineRule="exact"/>
        <w:rPr>
          <w:rFonts w:ascii="Arial" w:cs="Arial" w:eastAsia="Arial" w:hAnsi="Arial"/>
          <w:sz w:val="16"/>
          <w:szCs w:val="16"/>
          <w:color w:val="auto"/>
        </w:rPr>
      </w:pPr>
    </w:p>
    <w:p>
      <w:pPr>
        <w:jc w:val="both"/>
        <w:ind w:right="20" w:firstLine="443"/>
        <w:spacing w:after="0" w:line="286" w:lineRule="auto"/>
        <w:tabs>
          <w:tab w:leader="none" w:pos="733" w:val="left"/>
        </w:tabs>
        <w:numPr>
          <w:ilvl w:val="1"/>
          <w:numId w:val="7"/>
        </w:numPr>
        <w:rPr>
          <w:rFonts w:ascii="Arial" w:cs="Arial" w:eastAsia="Arial" w:hAnsi="Arial"/>
          <w:sz w:val="17"/>
          <w:szCs w:val="17"/>
          <w:color w:val="auto"/>
        </w:rPr>
      </w:pPr>
      <w:r>
        <w:rPr>
          <w:rFonts w:ascii="Arial" w:cs="Arial" w:eastAsia="Arial" w:hAnsi="Arial"/>
          <w:sz w:val="17"/>
          <w:szCs w:val="17"/>
          <w:color w:val="auto"/>
        </w:rPr>
        <w:t>As of the close of business on July 27, 2015, Mr. Kopin may be deemed to beneficially own 1,589,141 shares of Common Stock, and all such shares of Common Stock in the aggregate represent beneficial ownership of approximately 6.8% of the Common Stock, based on (1) 12,385,016 shares of Common Stock outstanding as reported by the Issuer in such 424B, plus (2) 9,350,000 shares of Common</w:t>
      </w:r>
    </w:p>
    <w:p>
      <w:pPr>
        <w:spacing w:after="0" w:line="9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Page 6 of 9</w:t>
      </w:r>
    </w:p>
    <w:p>
      <w:pPr>
        <w:sectPr>
          <w:pgSz w:w="11900" w:h="16838" w:orient="portrait"/>
          <w:cols w:equalWidth="0" w:num="1">
            <w:col w:w="10960"/>
          </w:cols>
          <w:pgMar w:left="700" w:top="274" w:right="239" w:bottom="1440" w:gutter="0" w:footer="0" w:header="0"/>
        </w:sectPr>
      </w:pPr>
    </w:p>
    <w:bookmarkStart w:id="6" w:name="page7"/>
    <w:bookmarkEnd w:id="6"/>
    <w:p>
      <w:pPr>
        <w:ind w:left="460" w:right="5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issued at the consummation of the Offering, plus (3) 1,400,000 shares of Common Stock in the aggregate issuable upon exercise of the Intracoastal Warrants, plus (4) 163,828 shares of Common Stock in the aggregate issuable upon exercise of the Other Intracoastal Warrants, plus</w:t>
      </w:r>
    </w:p>
    <w:p>
      <w:pPr>
        <w:ind w:left="720" w:hanging="256"/>
        <w:spacing w:after="0"/>
        <w:tabs>
          <w:tab w:leader="none" w:pos="720" w:val="left"/>
        </w:tabs>
        <w:numPr>
          <w:ilvl w:val="1"/>
          <w:numId w:val="8"/>
        </w:numPr>
        <w:rPr>
          <w:rFonts w:ascii="Arial" w:cs="Arial" w:eastAsia="Arial" w:hAnsi="Arial"/>
          <w:sz w:val="18"/>
          <w:szCs w:val="18"/>
          <w:color w:val="auto"/>
        </w:rPr>
      </w:pPr>
      <w:r>
        <w:rPr>
          <w:rFonts w:ascii="Arial" w:cs="Arial" w:eastAsia="Arial" w:hAnsi="Arial"/>
          <w:sz w:val="18"/>
          <w:szCs w:val="18"/>
          <w:color w:val="auto"/>
        </w:rPr>
        <w:t>25,313 shares of Common Stock issuable in the aggregate upon exercise of</w:t>
      </w:r>
    </w:p>
    <w:p>
      <w:pPr>
        <w:spacing w:after="0" w:line="10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(c)</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each of Mr. Asher and Intracoastal has: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1,563,828.</w:t>
      </w:r>
    </w:p>
    <w:p>
      <w:pPr>
        <w:spacing w:after="0" w:line="131"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380" w:type="dxa"/>
            <w:vAlign w:val="bottom"/>
          </w:tcPr>
          <w:p>
            <w:pPr>
              <w:jc w:val="right"/>
              <w:ind w:right="90"/>
              <w:spacing w:after="0"/>
              <w:rPr>
                <w:sz w:val="20"/>
                <w:szCs w:val="20"/>
                <w:color w:val="auto"/>
              </w:rPr>
            </w:pPr>
            <w:r>
              <w:rPr>
                <w:rFonts w:ascii="Arial" w:cs="Arial" w:eastAsia="Arial" w:hAnsi="Arial"/>
                <w:sz w:val="18"/>
                <w:szCs w:val="18"/>
                <w:color w:val="auto"/>
                <w:w w:val="81"/>
              </w:rPr>
              <w:t>(3)</w:t>
            </w:r>
          </w:p>
        </w:tc>
        <w:tc>
          <w:tcPr>
            <w:tcW w:w="4100" w:type="dxa"/>
            <w:vAlign w:val="bottom"/>
          </w:tcPr>
          <w:p>
            <w:pPr>
              <w:ind w:left="180"/>
              <w:spacing w:after="0"/>
              <w:rPr>
                <w:sz w:val="20"/>
                <w:szCs w:val="20"/>
                <w:color w:val="auto"/>
              </w:rPr>
            </w:pPr>
            <w:r>
              <w:rPr>
                <w:rFonts w:ascii="Arial" w:cs="Arial" w:eastAsia="Arial" w:hAnsi="Arial"/>
                <w:sz w:val="18"/>
                <w:szCs w:val="18"/>
                <w:color w:val="auto"/>
                <w:w w:val="95"/>
              </w:rPr>
              <w:t>Sole power to dispose or to direct the disposition of</w:t>
            </w:r>
          </w:p>
        </w:tc>
        <w:tc>
          <w:tcPr>
            <w:tcW w:w="960" w:type="dxa"/>
            <w:vAlign w:val="bottom"/>
          </w:tcPr>
          <w:p>
            <w:pPr>
              <w:jc w:val="right"/>
              <w:ind w:right="710"/>
              <w:spacing w:after="0"/>
              <w:rPr>
                <w:sz w:val="20"/>
                <w:szCs w:val="20"/>
                <w:color w:val="auto"/>
              </w:rPr>
            </w:pPr>
            <w:r>
              <w:rPr>
                <w:rFonts w:ascii="Arial" w:cs="Arial" w:eastAsia="Arial" w:hAnsi="Arial"/>
                <w:sz w:val="18"/>
                <w:szCs w:val="18"/>
                <w:color w:val="auto"/>
                <w:w w:val="92"/>
              </w:rPr>
              <w:t>0.</w:t>
            </w:r>
          </w:p>
        </w:tc>
      </w:tr>
      <w:tr>
        <w:trPr>
          <w:trHeight w:val="338"/>
        </w:trPr>
        <w:tc>
          <w:tcPr>
            <w:tcW w:w="380" w:type="dxa"/>
            <w:vAlign w:val="bottom"/>
          </w:tcPr>
          <w:p>
            <w:pPr>
              <w:jc w:val="right"/>
              <w:ind w:right="90"/>
              <w:spacing w:after="0"/>
              <w:rPr>
                <w:sz w:val="20"/>
                <w:szCs w:val="20"/>
                <w:color w:val="auto"/>
              </w:rPr>
            </w:pPr>
            <w:r>
              <w:rPr>
                <w:rFonts w:ascii="Arial" w:cs="Arial" w:eastAsia="Arial" w:hAnsi="Arial"/>
                <w:sz w:val="18"/>
                <w:szCs w:val="18"/>
                <w:color w:val="auto"/>
                <w:w w:val="81"/>
              </w:rPr>
              <w:t>(4)</w:t>
            </w:r>
          </w:p>
        </w:tc>
        <w:tc>
          <w:tcPr>
            <w:tcW w:w="4100" w:type="dxa"/>
            <w:vAlign w:val="bottom"/>
          </w:tcPr>
          <w:p>
            <w:pPr>
              <w:ind w:left="180"/>
              <w:spacing w:after="0"/>
              <w:rPr>
                <w:sz w:val="20"/>
                <w:szCs w:val="20"/>
                <w:color w:val="auto"/>
              </w:rPr>
            </w:pPr>
            <w:r>
              <w:rPr>
                <w:rFonts w:ascii="Arial" w:cs="Arial" w:eastAsia="Arial" w:hAnsi="Arial"/>
                <w:sz w:val="18"/>
                <w:szCs w:val="18"/>
                <w:color w:val="auto"/>
                <w:w w:val="90"/>
              </w:rPr>
              <w:t>Shared power to dispose or to direct the disposition of</w:t>
            </w:r>
          </w:p>
        </w:tc>
        <w:tc>
          <w:tcPr>
            <w:tcW w:w="960" w:type="dxa"/>
            <w:vAlign w:val="bottom"/>
          </w:tcPr>
          <w:p>
            <w:pPr>
              <w:jc w:val="right"/>
              <w:spacing w:after="0"/>
              <w:rPr>
                <w:sz w:val="20"/>
                <w:szCs w:val="20"/>
                <w:color w:val="auto"/>
              </w:rPr>
            </w:pPr>
            <w:r>
              <w:rPr>
                <w:rFonts w:ascii="Arial" w:cs="Arial" w:eastAsia="Arial" w:hAnsi="Arial"/>
                <w:sz w:val="18"/>
                <w:szCs w:val="18"/>
                <w:color w:val="auto"/>
              </w:rPr>
              <w:t>1,563,828.</w:t>
            </w:r>
          </w:p>
        </w:tc>
      </w:tr>
    </w:tbl>
    <w:p>
      <w:pPr>
        <w:spacing w:after="0" w:line="107"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Mr. Kopin has: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1,589,141.</w:t>
      </w:r>
    </w:p>
    <w:p>
      <w:pPr>
        <w:spacing w:after="0" w:line="131"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380" w:type="dxa"/>
            <w:vAlign w:val="bottom"/>
          </w:tcPr>
          <w:p>
            <w:pPr>
              <w:jc w:val="right"/>
              <w:ind w:right="90"/>
              <w:spacing w:after="0"/>
              <w:rPr>
                <w:sz w:val="20"/>
                <w:szCs w:val="20"/>
                <w:color w:val="auto"/>
              </w:rPr>
            </w:pPr>
            <w:r>
              <w:rPr>
                <w:rFonts w:ascii="Arial" w:cs="Arial" w:eastAsia="Arial" w:hAnsi="Arial"/>
                <w:sz w:val="18"/>
                <w:szCs w:val="18"/>
                <w:color w:val="auto"/>
                <w:w w:val="81"/>
              </w:rPr>
              <w:t>(3)</w:t>
            </w:r>
          </w:p>
        </w:tc>
        <w:tc>
          <w:tcPr>
            <w:tcW w:w="4100" w:type="dxa"/>
            <w:vAlign w:val="bottom"/>
          </w:tcPr>
          <w:p>
            <w:pPr>
              <w:ind w:left="180"/>
              <w:spacing w:after="0"/>
              <w:rPr>
                <w:sz w:val="20"/>
                <w:szCs w:val="20"/>
                <w:color w:val="auto"/>
              </w:rPr>
            </w:pPr>
            <w:r>
              <w:rPr>
                <w:rFonts w:ascii="Arial" w:cs="Arial" w:eastAsia="Arial" w:hAnsi="Arial"/>
                <w:sz w:val="18"/>
                <w:szCs w:val="18"/>
                <w:color w:val="auto"/>
                <w:w w:val="95"/>
              </w:rPr>
              <w:t>Sole power to dispose or to direct the disposition of</w:t>
            </w:r>
          </w:p>
        </w:tc>
        <w:tc>
          <w:tcPr>
            <w:tcW w:w="960" w:type="dxa"/>
            <w:vAlign w:val="bottom"/>
          </w:tcPr>
          <w:p>
            <w:pPr>
              <w:jc w:val="right"/>
              <w:ind w:right="710"/>
              <w:spacing w:after="0"/>
              <w:rPr>
                <w:sz w:val="20"/>
                <w:szCs w:val="20"/>
                <w:color w:val="auto"/>
              </w:rPr>
            </w:pPr>
            <w:r>
              <w:rPr>
                <w:rFonts w:ascii="Arial" w:cs="Arial" w:eastAsia="Arial" w:hAnsi="Arial"/>
                <w:sz w:val="18"/>
                <w:szCs w:val="18"/>
                <w:color w:val="auto"/>
                <w:w w:val="92"/>
              </w:rPr>
              <w:t>0.</w:t>
            </w:r>
          </w:p>
        </w:tc>
      </w:tr>
      <w:tr>
        <w:trPr>
          <w:trHeight w:val="338"/>
        </w:trPr>
        <w:tc>
          <w:tcPr>
            <w:tcW w:w="380" w:type="dxa"/>
            <w:vAlign w:val="bottom"/>
          </w:tcPr>
          <w:p>
            <w:pPr>
              <w:jc w:val="right"/>
              <w:ind w:right="90"/>
              <w:spacing w:after="0"/>
              <w:rPr>
                <w:sz w:val="20"/>
                <w:szCs w:val="20"/>
                <w:color w:val="auto"/>
              </w:rPr>
            </w:pPr>
            <w:r>
              <w:rPr>
                <w:rFonts w:ascii="Arial" w:cs="Arial" w:eastAsia="Arial" w:hAnsi="Arial"/>
                <w:sz w:val="18"/>
                <w:szCs w:val="18"/>
                <w:color w:val="auto"/>
                <w:w w:val="81"/>
              </w:rPr>
              <w:t>(4)</w:t>
            </w:r>
          </w:p>
        </w:tc>
        <w:tc>
          <w:tcPr>
            <w:tcW w:w="4100" w:type="dxa"/>
            <w:vAlign w:val="bottom"/>
          </w:tcPr>
          <w:p>
            <w:pPr>
              <w:ind w:left="180"/>
              <w:spacing w:after="0"/>
              <w:rPr>
                <w:sz w:val="20"/>
                <w:szCs w:val="20"/>
                <w:color w:val="auto"/>
              </w:rPr>
            </w:pPr>
            <w:r>
              <w:rPr>
                <w:rFonts w:ascii="Arial" w:cs="Arial" w:eastAsia="Arial" w:hAnsi="Arial"/>
                <w:sz w:val="18"/>
                <w:szCs w:val="18"/>
                <w:color w:val="auto"/>
                <w:w w:val="90"/>
              </w:rPr>
              <w:t>Shared power to dispose or to direct the disposition of</w:t>
            </w:r>
          </w:p>
        </w:tc>
        <w:tc>
          <w:tcPr>
            <w:tcW w:w="960" w:type="dxa"/>
            <w:vAlign w:val="bottom"/>
          </w:tcPr>
          <w:p>
            <w:pPr>
              <w:jc w:val="right"/>
              <w:spacing w:after="0"/>
              <w:rPr>
                <w:sz w:val="20"/>
                <w:szCs w:val="20"/>
                <w:color w:val="auto"/>
              </w:rPr>
            </w:pPr>
            <w:r>
              <w:rPr>
                <w:rFonts w:ascii="Arial" w:cs="Arial" w:eastAsia="Arial" w:hAnsi="Arial"/>
                <w:sz w:val="18"/>
                <w:szCs w:val="18"/>
                <w:color w:val="auto"/>
              </w:rPr>
              <w:t>1,589,141.</w:t>
            </w:r>
          </w:p>
        </w:tc>
      </w:tr>
    </w:tbl>
    <w:p>
      <w:pPr>
        <w:spacing w:after="0" w:line="34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7 of 9</w:t>
      </w:r>
    </w:p>
    <w:p>
      <w:pPr>
        <w:sectPr>
          <w:pgSz w:w="11900" w:h="16838" w:orient="portrait"/>
          <w:cols w:equalWidth="0" w:num="1">
            <w:col w:w="11360"/>
          </w:cols>
          <w:pgMar w:left="240" w:top="274" w:right="299" w:bottom="1440" w:gutter="0" w:footer="0" w:header="0"/>
        </w:sectPr>
      </w:pPr>
    </w:p>
    <w:bookmarkStart w:id="7" w:name="page8"/>
    <w:bookmarkEnd w:id="7"/>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Date: July 27, 2015</w:t>
      </w:r>
    </w:p>
    <w:p>
      <w:pPr>
        <w:spacing w:after="0" w:line="252"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/s/ Mitchell P. Kopin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Mitchell P. Kopin</w:t>
      </w:r>
    </w:p>
    <w:p>
      <w:pPr>
        <w:spacing w:after="0" w:line="225"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/s/ Daniel B. 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Daniel B. Asher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Intracoastal Capital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Mitchell P. Kopin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Mitchell P. Kopin, Manager</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Page 8 of 9</w:t>
      </w:r>
    </w:p>
    <w:p>
      <w:pPr>
        <w:sectPr>
          <w:pgSz w:w="11900" w:h="16838" w:orient="portrait"/>
          <w:cols w:equalWidth="0" w:num="1">
            <w:col w:w="10920"/>
          </w:cols>
          <w:pgMar w:left="240" w:top="270" w:right="7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Exhibit 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The undersigned acknowledge and agree that the foregoing statement on Schedule 13G is filed on behalf of each of the undersigned and that all subsequent amendments to this statement on Schedule 13G may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July 27, 2015</w:t>
      </w:r>
    </w:p>
    <w:p>
      <w:pPr>
        <w:spacing w:after="0" w:line="252"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/s/ Mitchell P. Kopin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Mitchell P. Kopin</w:t>
      </w:r>
    </w:p>
    <w:p>
      <w:pPr>
        <w:spacing w:after="0" w:line="225"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/s/ Daniel B. 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Daniel B. Asher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Intracoastal Capital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Mitchell P. Kopin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Mitchell P. Kopin, Manager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 of 9</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Letter"/>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lvl w:ilvl="1">
      <w:lvlJc w:val="left"/>
      <w:lvlText w:val="(%2)"/>
      <w:numFmt w:val="lowerLetter"/>
      <w:start w:val="9"/>
    </w:lvl>
  </w:abstractNum>
  <w:abstractNum w:abstractNumId="5">
    <w:nsid w:val="7545E146"/>
    <w:multiLevelType w:val="hybridMultilevel"/>
    <w:lvl w:ilvl="0">
      <w:lvlJc w:val="left"/>
      <w:lvlText w:val="%1"/>
      <w:numFmt w:val="upperLetter"/>
      <w:start w:val="1"/>
    </w:lvl>
    <w:lvl w:ilvl="1">
      <w:lvlJc w:val="left"/>
      <w:lvlText w:val="(%2)"/>
      <w:numFmt w:val="lowerRoman"/>
      <w:start w:val="2"/>
    </w:lvl>
  </w:abstractNum>
  <w:abstractNum w:abstractNumId="6">
    <w:nsid w:val="515F007C"/>
    <w:multiLevelType w:val="hybridMultilevel"/>
    <w:lvl w:ilvl="0">
      <w:lvlJc w:val="left"/>
      <w:lvlText w:val="(%1)"/>
      <w:numFmt w:val="upperLetter"/>
      <w:start w:val="35"/>
    </w:lvl>
    <w:lvl w:ilvl="1">
      <w:lvlJc w:val="left"/>
      <w:lvlText w:val="(%2)"/>
      <w:numFmt w:val="lowerRoman"/>
      <w:start w:val="3"/>
    </w:lvl>
  </w:abstractNum>
  <w:abstractNum w:abstractNumId="7">
    <w:nsid w:val="5BD062C2"/>
    <w:multiLevelType w:val="hybridMultilevel"/>
    <w:lvl w:ilvl="0">
      <w:lvlJc w:val="left"/>
      <w:lvlText w:val="%1"/>
      <w:numFmt w:val="lowerLetter"/>
      <w:start w:val="1"/>
    </w:lvl>
    <w:lvl w:ilvl="1">
      <w:lvlJc w:val="left"/>
      <w:lvlText w:val="(%2)"/>
      <w:numFmt w:val="decimal"/>
      <w:start w:val="5"/>
    </w:lvl>
    <w:lvl w:ilvl="2">
      <w:lvlJc w:val="left"/>
      <w:lvlText w:val="%3"/>
      <w:numFmt w:val="decimal"/>
      <w:start w:val="1"/>
    </w:lvl>
  </w:abstractNum>
  <w:abstractNum w:abstractNumId="8">
    <w:nsid w:val="12200854"/>
    <w:multiLevelType w:val="hybridMultilevel"/>
    <w:lvl w:ilvl="0">
      <w:lvlJc w:val="left"/>
      <w:lvlText w:val="(%1)"/>
      <w:numFmt w:val="lowerLetter"/>
      <w:start w:val="9"/>
    </w:lvl>
    <w:lvl w:ilvl="1">
      <w:lvlJc w:val="left"/>
      <w:lvlText w:val="%2"/>
      <w:numFmt w:val="decimal"/>
      <w:start w:val="1"/>
    </w:lvl>
    <w:lvl w:ilvl="2">
      <w:lvlJc w:val="left"/>
      <w:lvlText w:val="(%3)"/>
      <w:numFmt w:val="decimal"/>
      <w:start w:val="1"/>
    </w:lvl>
  </w:abstractNum>
  <w:abstractNum w:abstractNumId="9">
    <w:nsid w:val="4DB127F8"/>
    <w:multiLevelType w:val="hybridMultilevel"/>
    <w:lvl w:ilvl="0">
      <w:lvlJc w:val="left"/>
      <w:lvlText w:val="(%1)"/>
      <w:numFmt w:val="lowerRoman"/>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2019-12-18T23:21:11Z</dcterms:created>
  <dcterms:modified xsi:type="dcterms:W3CDTF">2019-12-18T23:21:11Z</dcterms:modified>
</cp:coreProperties>
</file>