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90516.xml.htm"/>
      <w:bookmarkStart w:id="1" w:name="ksform405142026_0905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Sylvester John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DELCATH SYSTEMS,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566 QUEENSBURY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QUEENSBURY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12804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DELCATH SYSTEMS, INC.</w:t>
              </w:r>
            </w:hyperlink>
            <w:r>
              <w:rPr/>
              <w:t xml:space="preserve"> [ </w:t>
            </w:r>
            <w:r>
              <w:rPr>
                <w:rFonts w:ascii="Times;serif" w:hAnsi="Times;serif"/>
                <w:color w:val="0000FF"/>
                <w:sz w:val="24"/>
                <w:shd w:fill="FFFFFF" w:val="clear"/>
              </w:rPr>
              <w:t>DCTH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vest and become exercisable at the rate of one-twelfth (1/12th) per month with the first such vesting to occur on May 13, 2026 and monthly thereafter for so long as the reporting person remains a director of the Issuer (and subject to the terms and conditions of the Issuer's 2020 Omnibus Equity Incentive Plan, as amended). The option will expire the earlier of 10 years from the grant date or, for vested options, two years from the last day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Gerard Michel,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4561" TargetMode="External"/><Relationship Id="rId5" Type="http://schemas.openxmlformats.org/officeDocument/2006/relationships/hyperlink" Target="http://www.sec.gov/cgi-bin/browse-edgar?action=getcompany&amp;CIK=0000872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3488</Characters>
  <CharactersWithSpaces>4080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