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50505.xml.htm"/>
      <w:bookmarkStart w:id="1" w:name="ksform405142026_050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CZEREPAK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DELCATH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566 QUEENSBURY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QUEENSBURY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DELCATH SYSTEMS, INC.</w:t>
              </w:r>
            </w:hyperlink>
            <w:r>
              <w:rPr/>
              <w:t xml:space="preserve"> [ </w:t>
            </w:r>
            <w:r>
              <w:rPr>
                <w:rFonts w:ascii="Times;serif" w:hAnsi="Times;serif"/>
                <w:color w:val="0000FF"/>
                <w:sz w:val="24"/>
                <w:shd w:fill="FFFFFF" w:val="clear"/>
              </w:rPr>
              <w:t>DCTH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at the rate of one-twelfth (1/12th) per month with the first such vesting to occur on May 13, 2026 and monthly thereafter for so long as the reporting person remains a director of the Issuer (and subject to the terms and conditions of the Issuer's 2020 Omnibus Equity Incentive Plan, as amended). The option will expire the earlier of 10 years from the grant date or, for vested options, two years from the last day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Gerard Michel,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0" TargetMode="External"/><Relationship Id="rId5" Type="http://schemas.openxmlformats.org/officeDocument/2006/relationships/hyperlink" Target="http://www.sec.gov/cgi-bin/browse-edgar?action=getcompany&amp;CIK=0000872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3486</Characters>
  <CharactersWithSpaces>4077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