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SECURITIES AND EXCHANGE COMMISSION</w:t>
      </w:r>
    </w:p>
    <w:p>
      <w:pPr>
        <w:spacing w:after="0" w:line="8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76"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SCHEDULE 14A</w:t>
      </w:r>
    </w:p>
    <w:p>
      <w:pPr>
        <w:spacing w:after="0" w:line="122"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(Rule 14a-101)</w:t>
      </w:r>
    </w:p>
    <w:p>
      <w:pPr>
        <w:spacing w:after="0" w:line="104"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INFORMATION REQUIRED IN PROXY STATEMENT</w:t>
      </w:r>
    </w:p>
    <w:p>
      <w:pPr>
        <w:spacing w:after="0" w:line="90"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SCHEDULE 14A INFORMATION</w:t>
      </w:r>
    </w:p>
    <w:p>
      <w:pPr>
        <w:spacing w:after="0" w:line="104"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Proxy Statement Pursuant To Section 14(a) of the</w:t>
      </w:r>
    </w:p>
    <w:p>
      <w:pPr>
        <w:spacing w:after="0" w:line="15" w:lineRule="exact"/>
        <w:rPr>
          <w:sz w:val="24"/>
          <w:szCs w:val="24"/>
          <w:color w:val="auto"/>
        </w:rPr>
      </w:pPr>
    </w:p>
    <w:p>
      <w:pPr>
        <w:jc w:val="center"/>
        <w:ind w:right="-179"/>
        <w:spacing w:after="0"/>
        <w:tabs>
          <w:tab w:leader="none" w:pos="240" w:val="left"/>
        </w:tabs>
        <w:rPr>
          <w:sz w:val="20"/>
          <w:szCs w:val="20"/>
          <w:color w:val="auto"/>
        </w:rPr>
      </w:pPr>
      <w:r>
        <w:rPr>
          <w:rFonts w:ascii="Arial" w:cs="Arial" w:eastAsia="Arial" w:hAnsi="Arial"/>
          <w:sz w:val="16"/>
          <w:szCs w:val="16"/>
          <w:color w:val="auto"/>
        </w:rPr>
        <w:t>Securities Exchange Act of 1934 (Amendment No.</w:t>
      </w:r>
      <w:r>
        <w:rPr>
          <w:sz w:val="20"/>
          <w:szCs w:val="20"/>
          <w:color w:val="auto"/>
        </w:rPr>
        <w:tab/>
      </w:r>
      <w:r>
        <w:rPr>
          <w:rFonts w:ascii="Arial" w:cs="Arial" w:eastAsia="Arial" w:hAnsi="Arial"/>
          <w:sz w:val="18"/>
          <w:szCs w:val="18"/>
          <w:color w:val="auto"/>
        </w:rPr>
        <w:t>)</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rFonts w:ascii="Arial" w:cs="Arial" w:eastAsia="Arial" w:hAnsi="Arial"/>
          <w:sz w:val="21"/>
          <w:szCs w:val="21"/>
          <w:color w:val="auto"/>
        </w:rPr>
        <w:t>S</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21"/>
          <w:szCs w:val="21"/>
          <w:color w:val="auto"/>
        </w:rPr>
        <w:t>£</w:t>
      </w:r>
    </w:p>
    <w:p>
      <w:pPr>
        <w:spacing w:after="0" w:line="7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Preliminary Proxy Statement</w:t>
      </w:r>
    </w:p>
    <w:p>
      <w:pPr>
        <w:spacing w:after="0" w:line="12" w:lineRule="exact"/>
        <w:rPr>
          <w:rFonts w:ascii="Arial" w:cs="Arial" w:eastAsia="Arial" w:hAnsi="Arial"/>
          <w:sz w:val="22"/>
          <w:szCs w:val="22"/>
          <w:color w:val="auto"/>
        </w:rPr>
      </w:pPr>
    </w:p>
    <w:p>
      <w:pPr>
        <w:ind w:left="160" w:hanging="152"/>
        <w:spacing w:after="0" w:line="219" w:lineRule="auto"/>
        <w:tabs>
          <w:tab w:leader="none" w:pos="16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Confidential, For Use of the Commission Only (as permitted by Rule 14a-6(e)(2))</w:t>
      </w:r>
    </w:p>
    <w:p>
      <w:pPr>
        <w:spacing w:after="0" w:line="12" w:lineRule="exact"/>
        <w:rPr>
          <w:rFonts w:ascii="Arial" w:cs="Arial" w:eastAsia="Arial" w:hAnsi="Arial"/>
          <w:sz w:val="22"/>
          <w:szCs w:val="22"/>
          <w:color w:val="auto"/>
        </w:rPr>
      </w:pPr>
    </w:p>
    <w:p>
      <w:pPr>
        <w:ind w:left="160" w:hanging="152"/>
        <w:spacing w:after="0" w:line="219" w:lineRule="auto"/>
        <w:tabs>
          <w:tab w:leader="none" w:pos="160" w:val="left"/>
        </w:tabs>
        <w:numPr>
          <w:ilvl w:val="0"/>
          <w:numId w:val="1"/>
        </w:numPr>
        <w:rPr>
          <w:rFonts w:ascii="Arial" w:cs="Arial" w:eastAsia="Arial" w:hAnsi="Arial"/>
          <w:sz w:val="22"/>
          <w:szCs w:val="22"/>
          <w:color w:val="auto"/>
        </w:rPr>
      </w:pPr>
      <w:r>
        <w:rPr>
          <w:rFonts w:ascii="Arial" w:cs="Arial" w:eastAsia="Arial" w:hAnsi="Arial"/>
          <w:sz w:val="18"/>
          <w:szCs w:val="18"/>
          <w:color w:val="auto"/>
        </w:rPr>
        <w:t>Definitive Proxy Statement</w:t>
      </w:r>
    </w:p>
    <w:p>
      <w:pPr>
        <w:spacing w:after="0" w:line="233" w:lineRule="exact"/>
        <w:rPr>
          <w:sz w:val="24"/>
          <w:szCs w:val="24"/>
          <w:color w:val="auto"/>
        </w:rPr>
      </w:pPr>
    </w:p>
    <w:p>
      <w:pPr>
        <w:ind w:left="160" w:hanging="152"/>
        <w:spacing w:after="0"/>
        <w:tabs>
          <w:tab w:leader="none" w:pos="160" w:val="left"/>
        </w:tabs>
        <w:numPr>
          <w:ilvl w:val="0"/>
          <w:numId w:val="2"/>
        </w:numPr>
        <w:rPr>
          <w:rFonts w:ascii="Arial" w:cs="Arial" w:eastAsia="Arial" w:hAnsi="Arial"/>
          <w:sz w:val="22"/>
          <w:szCs w:val="22"/>
          <w:color w:val="auto"/>
        </w:rPr>
      </w:pPr>
      <w:r>
        <w:rPr>
          <w:rFonts w:ascii="Arial" w:cs="Arial" w:eastAsia="Arial" w:hAnsi="Arial"/>
          <w:sz w:val="18"/>
          <w:szCs w:val="18"/>
          <w:color w:val="auto"/>
        </w:rPr>
        <w:t>Soliciting Material Under § 240.14a-12</w:t>
      </w:r>
    </w:p>
    <w:p>
      <w:pPr>
        <w:spacing w:after="0" w:line="365"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DELCATH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520065</wp:posOffset>
            </wp:positionV>
            <wp:extent cx="5068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242570</wp:posOffset>
            </wp:positionV>
            <wp:extent cx="5068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1"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17"/>
          <w:szCs w:val="17"/>
          <w:color w:val="auto"/>
        </w:rPr>
        <w:t>No fee required.</w:t>
      </w:r>
    </w:p>
    <w:p>
      <w:pPr>
        <w:spacing w:after="0" w:line="81" w:lineRule="exact"/>
        <w:rPr>
          <w:sz w:val="24"/>
          <w:szCs w:val="24"/>
          <w:color w:val="auto"/>
        </w:rPr>
      </w:pPr>
    </w:p>
    <w:p>
      <w:pPr>
        <w:ind w:left="160" w:hanging="152"/>
        <w:spacing w:after="0"/>
        <w:tabs>
          <w:tab w:leader="none" w:pos="160" w:val="left"/>
        </w:tabs>
        <w:numPr>
          <w:ilvl w:val="0"/>
          <w:numId w:val="3"/>
        </w:numPr>
        <w:rPr>
          <w:rFonts w:ascii="Arial" w:cs="Arial" w:eastAsia="Arial" w:hAnsi="Arial"/>
          <w:sz w:val="22"/>
          <w:szCs w:val="22"/>
          <w:color w:val="auto"/>
        </w:rPr>
      </w:pPr>
      <w:r>
        <w:rPr>
          <w:rFonts w:ascii="Arial" w:cs="Arial" w:eastAsia="Arial" w:hAnsi="Arial"/>
          <w:sz w:val="18"/>
          <w:szCs w:val="18"/>
          <w:color w:val="auto"/>
        </w:rPr>
        <w:t>Fee computed on table below per Exchange Act Rules 14a-6(i)(1) and 0-11.</w:t>
      </w:r>
    </w:p>
    <w:p>
      <w:pPr>
        <w:spacing w:after="0" w:line="88" w:lineRule="exact"/>
        <w:rPr>
          <w:rFonts w:ascii="Arial" w:cs="Arial" w:eastAsia="Arial" w:hAnsi="Arial"/>
          <w:sz w:val="22"/>
          <w:szCs w:val="22"/>
          <w:color w:val="auto"/>
        </w:rPr>
      </w:pPr>
    </w:p>
    <w:p>
      <w:pPr>
        <w:ind w:left="700" w:hanging="253"/>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680" w:hanging="233"/>
        <w:spacing w:after="0"/>
        <w:tabs>
          <w:tab w:leader="none" w:pos="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440" w:right="140" w:firstLine="7"/>
        <w:spacing w:after="0" w:line="250" w:lineRule="auto"/>
        <w:tabs>
          <w:tab w:leader="none" w:pos="689"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700" w:hanging="253"/>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700" w:hanging="253"/>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3"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22"/>
          <w:szCs w:val="22"/>
          <w:color w:val="auto"/>
        </w:rPr>
      </w:pPr>
      <w:r>
        <w:rPr>
          <w:rFonts w:ascii="Arial" w:cs="Arial" w:eastAsia="Arial" w:hAnsi="Arial"/>
          <w:sz w:val="18"/>
          <w:szCs w:val="18"/>
          <w:color w:val="auto"/>
        </w:rPr>
        <w:t>Fee paid previously with preliminary materials.</w:t>
      </w:r>
    </w:p>
    <w:p>
      <w:pPr>
        <w:spacing w:after="0" w:line="101" w:lineRule="exact"/>
        <w:rPr>
          <w:rFonts w:ascii="Arial" w:cs="Arial" w:eastAsia="Arial" w:hAnsi="Arial"/>
          <w:sz w:val="22"/>
          <w:szCs w:val="22"/>
          <w:color w:val="auto"/>
        </w:rPr>
      </w:pPr>
    </w:p>
    <w:p>
      <w:pPr>
        <w:ind w:firstLine="8"/>
        <w:spacing w:after="0" w:line="228" w:lineRule="auto"/>
        <w:tabs>
          <w:tab w:leader="none" w:pos="152" w:val="left"/>
        </w:tabs>
        <w:numPr>
          <w:ilvl w:val="0"/>
          <w:numId w:val="3"/>
        </w:numPr>
        <w:rPr>
          <w:rFonts w:ascii="Arial" w:cs="Arial" w:eastAsia="Arial" w:hAnsi="Arial"/>
          <w:sz w:val="22"/>
          <w:szCs w:val="22"/>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0" w:lineRule="exact"/>
        <w:rPr>
          <w:sz w:val="24"/>
          <w:szCs w:val="24"/>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219" w:right="4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23</w:t>
      </w:r>
    </w:p>
    <w:p>
      <w:pPr>
        <w:spacing w:after="0" w:line="225" w:lineRule="exact"/>
        <w:rPr>
          <w:sz w:val="20"/>
          <w:szCs w:val="20"/>
          <w:color w:val="auto"/>
        </w:rPr>
      </w:pPr>
    </w:p>
    <w:p>
      <w:pPr>
        <w:ind w:left="620"/>
        <w:spacing w:after="0"/>
        <w:tabs>
          <w:tab w:leader="none" w:pos="4460" w:val="left"/>
        </w:tabs>
        <w:rPr>
          <w:sz w:val="20"/>
          <w:szCs w:val="20"/>
          <w:color w:val="auto"/>
        </w:rPr>
      </w:pPr>
      <w:r>
        <w:rPr>
          <w:rFonts w:ascii="Arial" w:cs="Arial" w:eastAsia="Arial" w:hAnsi="Arial"/>
          <w:sz w:val="18"/>
          <w:szCs w:val="18"/>
          <w:color w:val="auto"/>
        </w:rPr>
        <w:t>68TVDELC</w:t>
      </w:r>
      <w:r>
        <w:rPr>
          <w:sz w:val="20"/>
          <w:szCs w:val="20"/>
          <w:color w:val="auto"/>
        </w:rPr>
        <w:tab/>
      </w:r>
      <w:r>
        <w:rPr>
          <w:rFonts w:ascii="Arial" w:cs="Arial" w:eastAsia="Arial" w:hAnsi="Arial"/>
          <w:sz w:val="18"/>
          <w:szCs w:val="18"/>
          <w:color w:val="auto"/>
        </w:rPr>
        <w:t>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-125730</wp:posOffset>
            </wp:positionV>
            <wp:extent cx="8890" cy="6020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602043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-125730</wp:posOffset>
            </wp:positionV>
            <wp:extent cx="8890" cy="6020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602043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-125730</wp:posOffset>
            </wp:positionV>
            <wp:extent cx="8890" cy="6020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6020435"/>
                    </a:xfrm>
                    <a:prstGeom prst="rect">
                      <a:avLst/>
                    </a:prstGeom>
                    <a:noFill/>
                  </pic:spPr>
                </pic:pic>
              </a:graphicData>
            </a:graphic>
          </wp:anchor>
        </w:drawing>
      </w:r>
    </w:p>
    <w:p>
      <w:pPr>
        <w:spacing w:after="0" w:line="138" w:lineRule="exact"/>
        <w:rPr>
          <w:sz w:val="20"/>
          <w:szCs w:val="20"/>
          <w:color w:val="auto"/>
        </w:rPr>
      </w:pPr>
    </w:p>
    <w:p>
      <w:pPr>
        <w:ind w:left="640" w:hanging="54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get 51 percent of the vote or else we lose. We aren’t</w:t>
      </w:r>
    </w:p>
    <w:p>
      <w:pPr>
        <w:spacing w:after="0" w:line="15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5"/>
          <w:szCs w:val="15"/>
          <w:color w:val="auto"/>
        </w:rPr>
        <w:t>fairly restrained in that respect.</w:t>
      </w:r>
    </w:p>
    <w:p>
      <w:pPr>
        <w:spacing w:after="0" w:line="158" w:lineRule="exact"/>
        <w:rPr>
          <w:sz w:val="20"/>
          <w:szCs w:val="20"/>
          <w:color w:val="auto"/>
        </w:rPr>
      </w:pPr>
    </w:p>
    <w:p>
      <w:pPr>
        <w:ind w:left="1080" w:hanging="989"/>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COURT: I didn’t understand what you just said to</w:t>
      </w:r>
    </w:p>
    <w:p>
      <w:pPr>
        <w:spacing w:after="0" w:line="158" w:lineRule="exact"/>
        <w:rPr>
          <w:sz w:val="20"/>
          <w:szCs w:val="20"/>
          <w:color w:val="auto"/>
        </w:rPr>
      </w:pPr>
    </w:p>
    <w:p>
      <w:pPr>
        <w:ind w:left="640" w:hanging="54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w:t>
      </w:r>
    </w:p>
    <w:p>
      <w:pPr>
        <w:spacing w:after="0" w:line="158" w:lineRule="exact"/>
        <w:rPr>
          <w:sz w:val="20"/>
          <w:szCs w:val="20"/>
          <w:color w:val="auto"/>
        </w:rPr>
      </w:pPr>
    </w:p>
    <w:p>
      <w:pPr>
        <w:ind w:left="1080" w:hanging="989"/>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HECHT: Here’s the point: They don’t need to</w:t>
      </w:r>
    </w:p>
    <w:p>
      <w:pPr>
        <w:spacing w:after="0" w:line="158" w:lineRule="exact"/>
        <w:rPr>
          <w:sz w:val="20"/>
          <w:szCs w:val="20"/>
          <w:color w:val="auto"/>
        </w:rPr>
      </w:pPr>
    </w:p>
    <w:p>
      <w:pPr>
        <w:ind w:left="640" w:hanging="54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gather 51 percent revocations. We need to gather 51 percent</w:t>
      </w:r>
    </w:p>
    <w:p>
      <w:pPr>
        <w:spacing w:after="0" w:line="158" w:lineRule="exact"/>
        <w:rPr>
          <w:sz w:val="20"/>
          <w:szCs w:val="20"/>
          <w:color w:val="auto"/>
        </w:rPr>
      </w:pPr>
    </w:p>
    <w:p>
      <w:pPr>
        <w:ind w:left="640" w:hanging="54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consents.</w:t>
      </w:r>
    </w:p>
    <w:p>
      <w:pPr>
        <w:spacing w:after="0" w:line="158" w:lineRule="exact"/>
        <w:rPr>
          <w:sz w:val="20"/>
          <w:szCs w:val="20"/>
          <w:color w:val="auto"/>
        </w:rPr>
      </w:pPr>
    </w:p>
    <w:p>
      <w:pPr>
        <w:ind w:left="1080" w:hanging="989"/>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COURT: Right.</w:t>
      </w:r>
    </w:p>
    <w:p>
      <w:pPr>
        <w:spacing w:after="0" w:line="158" w:lineRule="exact"/>
        <w:rPr>
          <w:sz w:val="20"/>
          <w:szCs w:val="20"/>
          <w:color w:val="auto"/>
        </w:rPr>
      </w:pPr>
    </w:p>
    <w:p>
      <w:pPr>
        <w:ind w:left="1080" w:hanging="989"/>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HECHT: So you can’t just say both sides are</w:t>
      </w:r>
    </w:p>
    <w:p>
      <w:pPr>
        <w:spacing w:after="0" w:line="158" w:lineRule="exact"/>
        <w:rPr>
          <w:sz w:val="20"/>
          <w:szCs w:val="20"/>
          <w:color w:val="auto"/>
        </w:rPr>
      </w:pPr>
    </w:p>
    <w:p>
      <w:pPr>
        <w:ind w:left="640" w:hanging="6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barred from taking action on the consents. They don’t have to</w:t>
      </w:r>
    </w:p>
    <w:p>
      <w:pPr>
        <w:spacing w:after="0" w:line="157" w:lineRule="exact"/>
        <w:rPr>
          <w:rFonts w:ascii="Arial" w:cs="Arial" w:eastAsia="Arial" w:hAnsi="Arial"/>
          <w:sz w:val="18"/>
          <w:szCs w:val="18"/>
          <w:color w:val="auto"/>
        </w:rPr>
      </w:pPr>
    </w:p>
    <w:p>
      <w:pPr>
        <w:ind w:left="640" w:hanging="630"/>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take action on the revocations. We’re the ones who have to</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take action. We bear a greater burden in the consent</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solicitation process. So the very nature of the restraint,</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 if it purports to be bilateral, covering both sides,</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impacts us more profoundly.</w:t>
      </w:r>
    </w:p>
    <w:p>
      <w:pPr>
        <w:spacing w:after="0" w:line="157" w:lineRule="exact"/>
        <w:rPr>
          <w:rFonts w:ascii="Arial" w:cs="Arial" w:eastAsia="Arial" w:hAnsi="Arial"/>
          <w:sz w:val="18"/>
          <w:szCs w:val="18"/>
          <w:color w:val="auto"/>
        </w:rPr>
      </w:pPr>
    </w:p>
    <w:p>
      <w:pPr>
        <w:ind w:left="1080" w:hanging="107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COURT: So what? What’s the harm? That’s the</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point.</w:t>
      </w:r>
    </w:p>
    <w:p>
      <w:pPr>
        <w:spacing w:after="0" w:line="157" w:lineRule="exact"/>
        <w:rPr>
          <w:rFonts w:ascii="Arial" w:cs="Arial" w:eastAsia="Arial" w:hAnsi="Arial"/>
          <w:sz w:val="18"/>
          <w:szCs w:val="18"/>
          <w:color w:val="auto"/>
        </w:rPr>
      </w:pPr>
    </w:p>
    <w:p>
      <w:pPr>
        <w:ind w:left="1080" w:hanging="107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HECHT: Here’s the greater harm: They are the</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incumbent board of directors; they can make changes; they can</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extraordinary things right now that we cannot. They’ve done</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one already, Judge. They’ve changed the change-in-control</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 which runs the risk of giving a greater package to</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if there’s a change in control. That didn’t used to</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exist.</w:t>
      </w:r>
    </w:p>
    <w:p>
      <w:pPr>
        <w:spacing w:after="0" w:line="157" w:lineRule="exact"/>
        <w:rPr>
          <w:rFonts w:ascii="Arial" w:cs="Arial" w:eastAsia="Arial" w:hAnsi="Arial"/>
          <w:sz w:val="18"/>
          <w:szCs w:val="18"/>
          <w:color w:val="auto"/>
        </w:rPr>
      </w:pPr>
    </w:p>
    <w:p>
      <w:pPr>
        <w:ind w:left="1080" w:hanging="1076"/>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COURT: When was that?</w:t>
      </w:r>
    </w:p>
    <w:p>
      <w:pPr>
        <w:spacing w:after="0" w:line="3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SOUTHERN DISTRICT REPORTERS, P.C.</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(212) 805-0300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20" w:top="361" w:right="3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24</w:t>
      </w:r>
    </w:p>
    <w:p>
      <w:pPr>
        <w:spacing w:after="0" w:line="158" w:lineRule="exact"/>
        <w:rPr>
          <w:sz w:val="20"/>
          <w:szCs w:val="20"/>
          <w:color w:val="auto"/>
        </w:rPr>
      </w:pPr>
    </w:p>
    <w:p>
      <w:pPr>
        <w:ind w:left="640"/>
        <w:spacing w:after="0"/>
        <w:tabs>
          <w:tab w:leader="none" w:pos="4480" w:val="left"/>
        </w:tabs>
        <w:rPr>
          <w:sz w:val="20"/>
          <w:szCs w:val="20"/>
          <w:color w:val="auto"/>
        </w:rPr>
      </w:pPr>
      <w:r>
        <w:rPr>
          <w:rFonts w:ascii="Arial" w:cs="Arial" w:eastAsia="Arial" w:hAnsi="Arial"/>
          <w:sz w:val="18"/>
          <w:szCs w:val="18"/>
          <w:color w:val="auto"/>
        </w:rPr>
        <w:t>68TVDELC</w:t>
      </w:r>
      <w:r>
        <w:rPr>
          <w:sz w:val="20"/>
          <w:szCs w:val="20"/>
          <w:color w:val="auto"/>
        </w:rPr>
        <w:tab/>
      </w:r>
      <w:r>
        <w:rPr>
          <w:rFonts w:ascii="Arial" w:cs="Arial" w:eastAsia="Arial" w:hAnsi="Arial"/>
          <w:sz w:val="18"/>
          <w:szCs w:val="18"/>
          <w:color w:val="auto"/>
        </w:rPr>
        <w:t>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-125730</wp:posOffset>
            </wp:positionV>
            <wp:extent cx="8890" cy="6020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602043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-125730</wp:posOffset>
            </wp:positionV>
            <wp:extent cx="8890" cy="6020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602043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-125730</wp:posOffset>
            </wp:positionV>
            <wp:extent cx="8890" cy="6020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6020435"/>
                    </a:xfrm>
                    <a:prstGeom prst="rect">
                      <a:avLst/>
                    </a:prstGeom>
                    <a:noFill/>
                  </pic:spPr>
                </pic:pic>
              </a:graphicData>
            </a:graphic>
          </wp:anchor>
        </w:drawing>
      </w:r>
    </w:p>
    <w:p>
      <w:pPr>
        <w:spacing w:after="0" w:line="138" w:lineRule="exact"/>
        <w:rPr>
          <w:sz w:val="20"/>
          <w:szCs w:val="20"/>
          <w:color w:val="auto"/>
        </w:rPr>
      </w:pPr>
    </w:p>
    <w:p>
      <w:pPr>
        <w:ind w:left="1080" w:hanging="989"/>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HECHT: I’m sorry?</w:t>
      </w:r>
    </w:p>
    <w:p>
      <w:pPr>
        <w:spacing w:after="0" w:line="158" w:lineRule="exact"/>
        <w:rPr>
          <w:sz w:val="20"/>
          <w:szCs w:val="20"/>
          <w:color w:val="auto"/>
        </w:rPr>
      </w:pPr>
    </w:p>
    <w:p>
      <w:pPr>
        <w:ind w:left="1080" w:hanging="989"/>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COURT: When?</w:t>
      </w:r>
    </w:p>
    <w:p>
      <w:pPr>
        <w:spacing w:after="0" w:line="158" w:lineRule="exact"/>
        <w:rPr>
          <w:sz w:val="20"/>
          <w:szCs w:val="20"/>
          <w:color w:val="auto"/>
        </w:rPr>
      </w:pPr>
    </w:p>
    <w:p>
      <w:pPr>
        <w:ind w:left="1080" w:hanging="989"/>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HECHT: We first learned of that in their first</w:t>
      </w:r>
    </w:p>
    <w:p>
      <w:pPr>
        <w:spacing w:after="0" w:line="15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6"/>
          <w:szCs w:val="16"/>
          <w:color w:val="auto"/>
        </w:rPr>
        <w:t>preliminary consent revocation materials on August 7th.</w:t>
      </w:r>
    </w:p>
    <w:p>
      <w:pPr>
        <w:spacing w:after="0" w:line="158" w:lineRule="exact"/>
        <w:rPr>
          <w:sz w:val="20"/>
          <w:szCs w:val="20"/>
          <w:color w:val="auto"/>
        </w:rPr>
      </w:pPr>
    </w:p>
    <w:p>
      <w:pPr>
        <w:ind w:left="1080" w:hanging="989"/>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COURT: What about that?</w:t>
      </w:r>
    </w:p>
    <w:p>
      <w:pPr>
        <w:spacing w:after="0" w:line="158" w:lineRule="exact"/>
        <w:rPr>
          <w:sz w:val="20"/>
          <w:szCs w:val="20"/>
          <w:color w:val="auto"/>
        </w:rPr>
      </w:pPr>
    </w:p>
    <w:p>
      <w:pPr>
        <w:ind w:left="1080" w:hanging="989"/>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OFFENHARTZ: Your Honor, I don’t know the exact</w:t>
      </w:r>
    </w:p>
    <w:p>
      <w:pPr>
        <w:spacing w:after="0" w:line="15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timing of that, but --</w:t>
      </w:r>
    </w:p>
    <w:p>
      <w:pPr>
        <w:spacing w:after="0" w:line="158" w:lineRule="exact"/>
        <w:rPr>
          <w:sz w:val="20"/>
          <w:szCs w:val="20"/>
          <w:color w:val="auto"/>
        </w:rPr>
      </w:pPr>
    </w:p>
    <w:p>
      <w:pPr>
        <w:ind w:left="1080" w:hanging="989"/>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COURT: Recently is the answer.</w:t>
      </w:r>
    </w:p>
    <w:p>
      <w:pPr>
        <w:spacing w:after="0" w:line="158" w:lineRule="exact"/>
        <w:rPr>
          <w:sz w:val="20"/>
          <w:szCs w:val="20"/>
          <w:color w:val="auto"/>
        </w:rPr>
      </w:pPr>
    </w:p>
    <w:p>
      <w:pPr>
        <w:ind w:left="1080" w:hanging="989"/>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OFFENHARTZ: Recently. Your Honor, if I may, two</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w:t>
      </w:r>
      <w:r>
        <w:rPr>
          <w:rFonts w:ascii="Arial" w:cs="Arial" w:eastAsia="Arial" w:hAnsi="Arial"/>
          <w:sz w:val="15"/>
          <w:szCs w:val="15"/>
          <w:color w:val="auto"/>
        </w:rPr>
        <w:t>responses to that:</w:t>
      </w:r>
    </w:p>
    <w:p>
      <w:pPr>
        <w:spacing w:after="0" w:line="158" w:lineRule="exact"/>
        <w:rPr>
          <w:sz w:val="20"/>
          <w:szCs w:val="20"/>
          <w:color w:val="auto"/>
        </w:rPr>
      </w:pPr>
    </w:p>
    <w:p>
      <w:pPr>
        <w:ind w:left="1080" w:hanging="1070"/>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One, that really highlights the difference between</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what my adversary is talking about and what we are talking</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about. If they win, if at the PI hearing your Honor decides</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our claims are not correct or we’re wrong, and there was a</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something happened that was inappropriate, the new</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board can take steps to correct that. That’s a normal</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run-of-the-mill process. That’s something that can be</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addressed, addressed quickly, corrected.</w:t>
      </w:r>
    </w:p>
    <w:p>
      <w:pPr>
        <w:spacing w:after="0" w:line="157" w:lineRule="exact"/>
        <w:rPr>
          <w:rFonts w:ascii="Arial" w:cs="Arial" w:eastAsia="Arial" w:hAnsi="Arial"/>
          <w:sz w:val="18"/>
          <w:szCs w:val="18"/>
          <w:color w:val="auto"/>
        </w:rPr>
      </w:pPr>
    </w:p>
    <w:p>
      <w:pPr>
        <w:ind w:left="1080" w:hanging="107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Moreover, your Honor, we are not here trying to gain</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anything. We are here because we believe we have very serious</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issues to be dealt with. While I find it odd that they, in</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 are moving for a TRO without actually putting in any</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papers, without making any showing, without --</w:t>
      </w:r>
    </w:p>
    <w:p>
      <w:pPr>
        <w:spacing w:after="0" w:line="157" w:lineRule="exact"/>
        <w:rPr>
          <w:rFonts w:ascii="Arial" w:cs="Arial" w:eastAsia="Arial" w:hAnsi="Arial"/>
          <w:sz w:val="18"/>
          <w:szCs w:val="18"/>
          <w:color w:val="auto"/>
        </w:rPr>
      </w:pPr>
    </w:p>
    <w:p>
      <w:pPr>
        <w:ind w:left="1080" w:hanging="107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COURT: You mean as to you?</w:t>
      </w:r>
    </w:p>
    <w:p>
      <w:pPr>
        <w:spacing w:after="0" w:line="157" w:lineRule="exact"/>
        <w:rPr>
          <w:rFonts w:ascii="Arial" w:cs="Arial" w:eastAsia="Arial" w:hAnsi="Arial"/>
          <w:sz w:val="18"/>
          <w:szCs w:val="18"/>
          <w:color w:val="auto"/>
        </w:rPr>
      </w:pPr>
    </w:p>
    <w:p>
      <w:pPr>
        <w:ind w:left="1080" w:hanging="1076"/>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OFFENHARTZ: As to us. I think that procedurally</w:t>
      </w:r>
    </w:p>
    <w:p>
      <w:pPr>
        <w:spacing w:after="0" w:line="3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SOUTHERN DISTRICT REPORTERS, P.C.</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(212) 805-0300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20" w:top="388"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25</w:t>
      </w:r>
    </w:p>
    <w:p>
      <w:pPr>
        <w:spacing w:after="0" w:line="158" w:lineRule="exact"/>
        <w:rPr>
          <w:sz w:val="20"/>
          <w:szCs w:val="20"/>
          <w:color w:val="auto"/>
        </w:rPr>
      </w:pPr>
    </w:p>
    <w:p>
      <w:pPr>
        <w:ind w:left="640"/>
        <w:spacing w:after="0"/>
        <w:tabs>
          <w:tab w:leader="none" w:pos="5520" w:val="left"/>
        </w:tabs>
        <w:rPr>
          <w:sz w:val="20"/>
          <w:szCs w:val="20"/>
          <w:color w:val="auto"/>
        </w:rPr>
      </w:pPr>
      <w:r>
        <w:rPr>
          <w:rFonts w:ascii="Arial" w:cs="Arial" w:eastAsia="Arial" w:hAnsi="Arial"/>
          <w:sz w:val="18"/>
          <w:szCs w:val="18"/>
          <w:color w:val="auto"/>
        </w:rPr>
        <w:t>68TVDELC</w:t>
      </w:r>
      <w:r>
        <w:rPr>
          <w:sz w:val="20"/>
          <w:szCs w:val="20"/>
          <w:color w:val="auto"/>
        </w:rPr>
        <w:tab/>
      </w:r>
      <w:r>
        <w:rPr>
          <w:rFonts w:ascii="Arial" w:cs="Arial" w:eastAsia="Arial" w:hAnsi="Arial"/>
          <w:sz w:val="18"/>
          <w:szCs w:val="18"/>
          <w:color w:val="auto"/>
        </w:rPr>
        <w:t>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-125730</wp:posOffset>
            </wp:positionV>
            <wp:extent cx="8890" cy="6062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6062980"/>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-125730</wp:posOffset>
            </wp:positionV>
            <wp:extent cx="8890" cy="6062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606298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-125730</wp:posOffset>
            </wp:positionV>
            <wp:extent cx="8890" cy="6062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6062980"/>
                    </a:xfrm>
                    <a:prstGeom prst="rect">
                      <a:avLst/>
                    </a:prstGeom>
                    <a:noFill/>
                  </pic:spPr>
                </pic:pic>
              </a:graphicData>
            </a:graphic>
          </wp:anchor>
        </w:drawing>
      </w:r>
    </w:p>
    <w:p>
      <w:pPr>
        <w:spacing w:after="0" w:line="138" w:lineRule="exact"/>
        <w:rPr>
          <w:sz w:val="20"/>
          <w:szCs w:val="20"/>
          <w:color w:val="auto"/>
        </w:rPr>
      </w:pPr>
    </w:p>
    <w:p>
      <w:pPr>
        <w:ind w:left="640" w:hanging="54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doesn’t make sense, and it’s faulty and it’s flawed.</w:t>
      </w:r>
    </w:p>
    <w:p>
      <w:pPr>
        <w:spacing w:after="0" w:line="158" w:lineRule="exact"/>
        <w:rPr>
          <w:sz w:val="20"/>
          <w:szCs w:val="20"/>
          <w:color w:val="auto"/>
        </w:rPr>
      </w:pPr>
    </w:p>
    <w:p>
      <w:pPr>
        <w:ind w:left="1080" w:hanging="989"/>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By the same token, we are not trying to game the</w:t>
      </w:r>
    </w:p>
    <w:p>
      <w:pPr>
        <w:spacing w:after="0" w:line="158" w:lineRule="exact"/>
        <w:rPr>
          <w:sz w:val="20"/>
          <w:szCs w:val="20"/>
          <w:color w:val="auto"/>
        </w:rPr>
      </w:pPr>
    </w:p>
    <w:p>
      <w:pPr>
        <w:ind w:left="640" w:hanging="549"/>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system. And if the concern is that with a TRO in place we</w:t>
      </w:r>
    </w:p>
    <w:p>
      <w:pPr>
        <w:spacing w:after="0" w:line="15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6"/>
          <w:szCs w:val="16"/>
          <w:color w:val="auto"/>
        </w:rPr>
        <w:t>would change the rights plan, I will stipulate right now that</w:t>
      </w:r>
    </w:p>
    <w:p>
      <w:pPr>
        <w:spacing w:after="0" w:line="15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5"/>
          <w:szCs w:val="15"/>
          <w:color w:val="auto"/>
        </w:rPr>
        <w:t>during the pendency of the TRO leading up to the PI hearing</w:t>
      </w:r>
    </w:p>
    <w:p>
      <w:pPr>
        <w:spacing w:after="0" w:line="15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6"/>
          <w:szCs w:val="16"/>
          <w:color w:val="auto"/>
        </w:rPr>
        <w:t>Delcath will not alter the rights plan. I think that’s a red</w:t>
      </w:r>
    </w:p>
    <w:p>
      <w:pPr>
        <w:spacing w:after="0" w:line="15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herring, your Honor. It’s not going to happen.</w:t>
      </w:r>
    </w:p>
    <w:p>
      <w:pPr>
        <w:spacing w:after="0" w:line="158" w:lineRule="exact"/>
        <w:rPr>
          <w:sz w:val="20"/>
          <w:szCs w:val="20"/>
          <w:color w:val="auto"/>
        </w:rPr>
      </w:pPr>
    </w:p>
    <w:p>
      <w:pPr>
        <w:ind w:left="1080" w:hanging="989"/>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Moreover, your Honor, the adversary’s position is that</w:t>
      </w:r>
    </w:p>
    <w:p>
      <w:pPr>
        <w:spacing w:after="0" w:line="15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9</w:t>
      </w:r>
      <w:r>
        <w:rPr>
          <w:rFonts w:ascii="Arial" w:cs="Arial" w:eastAsia="Arial" w:hAnsi="Arial"/>
          <w:sz w:val="15"/>
          <w:szCs w:val="15"/>
          <w:color w:val="auto"/>
        </w:rPr>
        <w:t>because they initiated a consent solicitation, and because</w:t>
      </w:r>
    </w:p>
    <w:p>
      <w:pPr>
        <w:spacing w:after="0" w:line="158" w:lineRule="exact"/>
        <w:rPr>
          <w:sz w:val="20"/>
          <w:szCs w:val="20"/>
          <w:color w:val="auto"/>
        </w:rPr>
      </w:pPr>
    </w:p>
    <w:p>
      <w:pPr>
        <w:ind w:left="640" w:hanging="6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Delcath is asserting its rights under the securities laws, and,</w:t>
      </w:r>
    </w:p>
    <w:p>
      <w:pPr>
        <w:spacing w:after="0" w:line="157" w:lineRule="exact"/>
        <w:rPr>
          <w:rFonts w:ascii="Arial" w:cs="Arial" w:eastAsia="Arial" w:hAnsi="Arial"/>
          <w:sz w:val="18"/>
          <w:szCs w:val="18"/>
          <w:color w:val="auto"/>
        </w:rPr>
      </w:pPr>
    </w:p>
    <w:p>
      <w:pPr>
        <w:ind w:left="640" w:hanging="630"/>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frankly, to this date I’m not even sure why we’re talking about</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balance of hardships, because with undisputed factual record</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before the Court, I think we went on likelihood of success of</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merits. So balance of the hardships is irrelevant for today’s</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purposes.</w:t>
      </w:r>
    </w:p>
    <w:p>
      <w:pPr>
        <w:spacing w:after="0" w:line="157" w:lineRule="exact"/>
        <w:rPr>
          <w:rFonts w:ascii="Arial" w:cs="Arial" w:eastAsia="Arial" w:hAnsi="Arial"/>
          <w:sz w:val="18"/>
          <w:szCs w:val="18"/>
          <w:color w:val="auto"/>
        </w:rPr>
      </w:pPr>
    </w:p>
    <w:p>
      <w:pPr>
        <w:ind w:left="1080" w:hanging="1076"/>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But even with that in place, their whole view is that</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because they have initiated a consent, anything we do under the</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laws, by asserting the private right of actions</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under 13d and 14a that are Horn Book securities law, and by</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asserting or our rights under the list of cases that we’ve</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provided your Honor, they’re saying that’s irreparable harm.</w:t>
      </w:r>
    </w:p>
    <w:p>
      <w:pPr>
        <w:spacing w:after="0" w:line="157" w:lineRule="exact"/>
        <w:rPr>
          <w:rFonts w:ascii="Arial" w:cs="Arial" w:eastAsia="Arial" w:hAnsi="Arial"/>
          <w:sz w:val="18"/>
          <w:szCs w:val="18"/>
          <w:color w:val="auto"/>
        </w:rPr>
      </w:pPr>
    </w:p>
    <w:p>
      <w:pPr>
        <w:ind w:left="1060" w:hanging="105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your Honor noted, all they are going to be hit</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if anything, is some additional expense. And as to</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resetting the clock in the Pabst case that we cite, it was</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clear that resetting the clock and having a new record date is</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SOUTHERN DISTRICT REPORTERS, P.C.</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(212) 805-0300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20" w:top="388"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26</w:t>
      </w:r>
    </w:p>
    <w:p>
      <w:pPr>
        <w:spacing w:after="0" w:line="239" w:lineRule="exact"/>
        <w:rPr>
          <w:sz w:val="20"/>
          <w:szCs w:val="20"/>
          <w:color w:val="auto"/>
        </w:rPr>
      </w:pPr>
    </w:p>
    <w:p>
      <w:pPr>
        <w:ind w:left="640"/>
        <w:spacing w:after="0"/>
        <w:tabs>
          <w:tab w:leader="none" w:pos="4420" w:val="left"/>
        </w:tabs>
        <w:rPr>
          <w:sz w:val="20"/>
          <w:szCs w:val="20"/>
          <w:color w:val="auto"/>
        </w:rPr>
      </w:pPr>
      <w:r>
        <w:rPr>
          <w:rFonts w:ascii="Arial" w:cs="Arial" w:eastAsia="Arial" w:hAnsi="Arial"/>
          <w:sz w:val="18"/>
          <w:szCs w:val="18"/>
          <w:color w:val="auto"/>
        </w:rPr>
        <w:t>68TVDELC</w:t>
      </w:r>
      <w:r>
        <w:rPr>
          <w:sz w:val="20"/>
          <w:szCs w:val="20"/>
          <w:color w:val="auto"/>
        </w:rPr>
        <w:tab/>
      </w:r>
      <w:r>
        <w:rPr>
          <w:rFonts w:ascii="Arial" w:cs="Arial" w:eastAsia="Arial" w:hAnsi="Arial"/>
          <w:sz w:val="18"/>
          <w:szCs w:val="18"/>
          <w:color w:val="auto"/>
        </w:rPr>
        <w:t>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-125730</wp:posOffset>
            </wp:positionV>
            <wp:extent cx="8890" cy="6020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602043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-125730</wp:posOffset>
            </wp:positionV>
            <wp:extent cx="8890" cy="6020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602043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-125730</wp:posOffset>
            </wp:positionV>
            <wp:extent cx="8890" cy="6020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6020435"/>
                    </a:xfrm>
                    <a:prstGeom prst="rect">
                      <a:avLst/>
                    </a:prstGeom>
                    <a:noFill/>
                  </pic:spPr>
                </pic:pic>
              </a:graphicData>
            </a:graphic>
          </wp:anchor>
        </w:drawing>
      </w:r>
    </w:p>
    <w:p>
      <w:pPr>
        <w:spacing w:after="0" w:line="138" w:lineRule="exact"/>
        <w:rPr>
          <w:sz w:val="20"/>
          <w:szCs w:val="20"/>
          <w:color w:val="auto"/>
        </w:rPr>
      </w:pPr>
    </w:p>
    <w:p>
      <w:pPr>
        <w:ind w:left="640" w:hanging="549"/>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 That’s the cost of doing business.</w:t>
      </w:r>
    </w:p>
    <w:p>
      <w:pPr>
        <w:spacing w:after="0" w:line="158" w:lineRule="exact"/>
        <w:rPr>
          <w:sz w:val="20"/>
          <w:szCs w:val="20"/>
          <w:color w:val="auto"/>
        </w:rPr>
      </w:pPr>
    </w:p>
    <w:p>
      <w:pPr>
        <w:ind w:left="1080" w:hanging="989"/>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COURT: Okay.</w:t>
      </w:r>
    </w:p>
    <w:p>
      <w:pPr>
        <w:spacing w:after="0" w:line="158" w:lineRule="exact"/>
        <w:rPr>
          <w:sz w:val="20"/>
          <w:szCs w:val="20"/>
          <w:color w:val="auto"/>
        </w:rPr>
      </w:pPr>
    </w:p>
    <w:p>
      <w:pPr>
        <w:ind w:left="1080" w:hanging="989"/>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HECHT: If I may, Judge. The point is this:</w:t>
      </w:r>
    </w:p>
    <w:p>
      <w:pPr>
        <w:spacing w:after="0" w:line="158" w:lineRule="exact"/>
        <w:rPr>
          <w:sz w:val="20"/>
          <w:szCs w:val="20"/>
          <w:color w:val="auto"/>
        </w:rPr>
      </w:pPr>
    </w:p>
    <w:p>
      <w:pPr>
        <w:ind w:left="640" w:hanging="549"/>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We’re not necessarily here to seek a countervailing TRO that</w:t>
      </w:r>
    </w:p>
    <w:p>
      <w:pPr>
        <w:spacing w:after="0" w:line="15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5"/>
          <w:szCs w:val="15"/>
          <w:color w:val="auto"/>
        </w:rPr>
        <w:t>binds the management even more than they currently are. My</w:t>
      </w:r>
    </w:p>
    <w:p>
      <w:pPr>
        <w:spacing w:after="0" w:line="15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5"/>
          <w:szCs w:val="15"/>
          <w:color w:val="auto"/>
        </w:rPr>
        <w:t>point is it’s a reductio ad absurdum.</w:t>
      </w:r>
    </w:p>
    <w:p>
      <w:pPr>
        <w:spacing w:after="0" w:line="158" w:lineRule="exact"/>
        <w:rPr>
          <w:sz w:val="20"/>
          <w:szCs w:val="20"/>
          <w:color w:val="auto"/>
        </w:rPr>
      </w:pPr>
    </w:p>
    <w:p>
      <w:pPr>
        <w:ind w:left="1080" w:hanging="989"/>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you just continue the restraints in their existing</w:t>
      </w:r>
    </w:p>
    <w:p>
      <w:pPr>
        <w:spacing w:after="0" w:line="158" w:lineRule="exact"/>
        <w:rPr>
          <w:sz w:val="20"/>
          <w:szCs w:val="20"/>
          <w:color w:val="auto"/>
        </w:rPr>
      </w:pPr>
    </w:p>
    <w:p>
      <w:pPr>
        <w:ind w:left="640" w:hanging="549"/>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 while ostensibly it may appear to be keeping the playing</w:t>
      </w:r>
    </w:p>
    <w:p>
      <w:pPr>
        <w:spacing w:after="0" w:line="15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9</w:t>
      </w:r>
      <w:r>
        <w:rPr>
          <w:rFonts w:ascii="Arial" w:cs="Arial" w:eastAsia="Arial" w:hAnsi="Arial"/>
          <w:sz w:val="16"/>
          <w:szCs w:val="16"/>
          <w:color w:val="auto"/>
        </w:rPr>
        <w:t>field neutral, it does not.</w:t>
      </w:r>
    </w:p>
    <w:p>
      <w:pPr>
        <w:spacing w:after="0" w:line="158" w:lineRule="exact"/>
        <w:rPr>
          <w:sz w:val="20"/>
          <w:szCs w:val="20"/>
          <w:color w:val="auto"/>
        </w:rPr>
      </w:pPr>
    </w:p>
    <w:p>
      <w:pPr>
        <w:ind w:left="1080" w:hanging="1076"/>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Two things happen: It leaves management pre -- to</w:t>
      </w:r>
    </w:p>
    <w:p>
      <w:pPr>
        <w:spacing w:after="0" w:line="157" w:lineRule="exact"/>
        <w:rPr>
          <w:rFonts w:ascii="Arial" w:cs="Arial" w:eastAsia="Arial" w:hAnsi="Arial"/>
          <w:sz w:val="18"/>
          <w:szCs w:val="18"/>
          <w:color w:val="auto"/>
        </w:rPr>
      </w:pPr>
    </w:p>
    <w:p>
      <w:pPr>
        <w:ind w:left="640" w:hanging="630"/>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possible mischief. I just gave the poison pill as one example.</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change of control is a real example, but they are still</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free to do that. That’s why a mere continuation of the</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existing restraints is not as innocuous as it seems. It was</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when Judge Walton did it ten days ago, but we are farther along</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process now.</w:t>
      </w:r>
    </w:p>
    <w:p>
      <w:pPr>
        <w:spacing w:after="0" w:line="157" w:lineRule="exact"/>
        <w:rPr>
          <w:rFonts w:ascii="Arial" w:cs="Arial" w:eastAsia="Arial" w:hAnsi="Arial"/>
          <w:sz w:val="18"/>
          <w:szCs w:val="18"/>
          <w:color w:val="auto"/>
        </w:rPr>
      </w:pPr>
    </w:p>
    <w:p>
      <w:pPr>
        <w:ind w:left="1080" w:hanging="1076"/>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COURT: I don’t get the difference.</w:t>
      </w:r>
    </w:p>
    <w:p>
      <w:pPr>
        <w:spacing w:after="0" w:line="157" w:lineRule="exact"/>
        <w:rPr>
          <w:rFonts w:ascii="Arial" w:cs="Arial" w:eastAsia="Arial" w:hAnsi="Arial"/>
          <w:sz w:val="18"/>
          <w:szCs w:val="18"/>
          <w:color w:val="auto"/>
        </w:rPr>
      </w:pPr>
    </w:p>
    <w:p>
      <w:pPr>
        <w:ind w:left="1080" w:hanging="1076"/>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HECHT: Because then we didn’t start the process</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yet. Now we have the process in place. Shareholders don’t</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think their votes count. The footnote that Judge Keenan</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addressed, the Management Assistance, makes the point very</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well, too.</w:t>
      </w:r>
    </w:p>
    <w:p>
      <w:pPr>
        <w:spacing w:after="0" w:line="157" w:lineRule="exact"/>
        <w:rPr>
          <w:rFonts w:ascii="Arial" w:cs="Arial" w:eastAsia="Arial" w:hAnsi="Arial"/>
          <w:sz w:val="18"/>
          <w:szCs w:val="18"/>
          <w:color w:val="auto"/>
        </w:rPr>
      </w:pPr>
    </w:p>
    <w:p>
      <w:pPr>
        <w:ind w:left="1080" w:hanging="1076"/>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COURT: But there’s no real record support for</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at this point.</w:t>
      </w:r>
    </w:p>
    <w:p>
      <w:pPr>
        <w:spacing w:after="0" w:line="157" w:lineRule="exact"/>
        <w:rPr>
          <w:rFonts w:ascii="Arial" w:cs="Arial" w:eastAsia="Arial" w:hAnsi="Arial"/>
          <w:sz w:val="18"/>
          <w:szCs w:val="18"/>
          <w:color w:val="auto"/>
        </w:rPr>
      </w:pPr>
    </w:p>
    <w:p>
      <w:pPr>
        <w:ind w:left="1080" w:hanging="1076"/>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HECHT: We proffer the affidavit of Mr. Ladd is</w:t>
      </w:r>
    </w:p>
    <w:p>
      <w:pPr>
        <w:spacing w:after="0" w:line="3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SOUTHERN DISTRICT REPORTERS, P.C.</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(212) 805-0300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20" w:top="590"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27</w:t>
      </w:r>
    </w:p>
    <w:p>
      <w:pPr>
        <w:spacing w:after="0" w:line="239" w:lineRule="exact"/>
        <w:rPr>
          <w:sz w:val="20"/>
          <w:szCs w:val="20"/>
          <w:color w:val="auto"/>
        </w:rPr>
      </w:pPr>
    </w:p>
    <w:p>
      <w:pPr>
        <w:ind w:left="640"/>
        <w:spacing w:after="0"/>
        <w:tabs>
          <w:tab w:leader="none" w:pos="4520" w:val="left"/>
        </w:tabs>
        <w:rPr>
          <w:sz w:val="20"/>
          <w:szCs w:val="20"/>
          <w:color w:val="auto"/>
        </w:rPr>
      </w:pPr>
      <w:r>
        <w:rPr>
          <w:rFonts w:ascii="Arial" w:cs="Arial" w:eastAsia="Arial" w:hAnsi="Arial"/>
          <w:sz w:val="18"/>
          <w:szCs w:val="18"/>
          <w:color w:val="auto"/>
        </w:rPr>
        <w:t>68TVDELC</w:t>
      </w:r>
      <w:r>
        <w:rPr>
          <w:sz w:val="20"/>
          <w:szCs w:val="20"/>
          <w:color w:val="auto"/>
        </w:rPr>
        <w:tab/>
      </w:r>
      <w:r>
        <w:rPr>
          <w:rFonts w:ascii="Arial" w:cs="Arial" w:eastAsia="Arial" w:hAnsi="Arial"/>
          <w:sz w:val="18"/>
          <w:szCs w:val="18"/>
          <w:color w:val="auto"/>
        </w:rPr>
        <w:t>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-125730</wp:posOffset>
            </wp:positionV>
            <wp:extent cx="8890" cy="6020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6020435"/>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-125730</wp:posOffset>
            </wp:positionV>
            <wp:extent cx="8890" cy="6020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602043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-125730</wp:posOffset>
            </wp:positionV>
            <wp:extent cx="8890" cy="6020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6020435"/>
                    </a:xfrm>
                    <a:prstGeom prst="rect">
                      <a:avLst/>
                    </a:prstGeom>
                    <a:noFill/>
                  </pic:spPr>
                </pic:pic>
              </a:graphicData>
            </a:graphic>
          </wp:anchor>
        </w:drawing>
      </w:r>
    </w:p>
    <w:p>
      <w:pPr>
        <w:spacing w:after="0" w:line="138" w:lineRule="exact"/>
        <w:rPr>
          <w:sz w:val="20"/>
          <w:szCs w:val="20"/>
          <w:color w:val="auto"/>
        </w:rPr>
      </w:pPr>
    </w:p>
    <w:p>
      <w:pPr>
        <w:ind w:left="640" w:hanging="54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obviously --</w:t>
      </w:r>
    </w:p>
    <w:p>
      <w:pPr>
        <w:spacing w:after="0" w:line="158" w:lineRule="exact"/>
        <w:rPr>
          <w:sz w:val="20"/>
          <w:szCs w:val="20"/>
          <w:color w:val="auto"/>
        </w:rPr>
      </w:pPr>
    </w:p>
    <w:p>
      <w:pPr>
        <w:ind w:left="1080" w:hanging="989"/>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COURT: Which is --</w:t>
      </w:r>
    </w:p>
    <w:p>
      <w:pPr>
        <w:spacing w:after="0" w:line="158" w:lineRule="exact"/>
        <w:rPr>
          <w:sz w:val="20"/>
          <w:szCs w:val="20"/>
          <w:color w:val="auto"/>
        </w:rPr>
      </w:pPr>
    </w:p>
    <w:p>
      <w:pPr>
        <w:ind w:left="1080" w:hanging="989"/>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HECHT: He’s spoken to shareholders, and he</w:t>
      </w:r>
    </w:p>
    <w:p>
      <w:pPr>
        <w:spacing w:after="0" w:line="15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5"/>
          <w:szCs w:val="15"/>
          <w:color w:val="auto"/>
        </w:rPr>
        <w:t>understands people are withholding their vote.</w:t>
      </w:r>
    </w:p>
    <w:p>
      <w:pPr>
        <w:spacing w:after="0" w:line="158" w:lineRule="exact"/>
        <w:rPr>
          <w:sz w:val="20"/>
          <w:szCs w:val="20"/>
          <w:color w:val="auto"/>
        </w:rPr>
      </w:pPr>
    </w:p>
    <w:p>
      <w:pPr>
        <w:ind w:left="1080" w:hanging="989"/>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But if I may move to two other quick points, Judge.</w:t>
      </w:r>
    </w:p>
    <w:p>
      <w:pPr>
        <w:spacing w:after="0" w:line="158" w:lineRule="exact"/>
        <w:rPr>
          <w:sz w:val="20"/>
          <w:szCs w:val="20"/>
          <w:color w:val="auto"/>
        </w:rPr>
      </w:pPr>
    </w:p>
    <w:p>
      <w:pPr>
        <w:ind w:left="1080" w:hanging="989"/>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That’s our point is, if I wore the black robe, I</w:t>
      </w:r>
    </w:p>
    <w:p>
      <w:pPr>
        <w:spacing w:after="0" w:line="158" w:lineRule="exact"/>
        <w:rPr>
          <w:sz w:val="20"/>
          <w:szCs w:val="20"/>
          <w:color w:val="auto"/>
        </w:rPr>
      </w:pPr>
    </w:p>
    <w:p>
      <w:pPr>
        <w:ind w:left="640" w:hanging="549"/>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respect the idea that the first thing I want to do is keep the</w:t>
      </w:r>
    </w:p>
    <w:p>
      <w:pPr>
        <w:spacing w:after="0" w:line="15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5"/>
          <w:szCs w:val="15"/>
          <w:color w:val="auto"/>
        </w:rPr>
        <w:t>playing field level, preserve the status quo until we get to a</w:t>
      </w:r>
    </w:p>
    <w:p>
      <w:pPr>
        <w:spacing w:after="0" w:line="158" w:lineRule="exact"/>
        <w:rPr>
          <w:sz w:val="20"/>
          <w:szCs w:val="20"/>
          <w:color w:val="auto"/>
        </w:rPr>
      </w:pPr>
    </w:p>
    <w:p>
      <w:pPr>
        <w:ind w:left="640" w:hanging="549"/>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hearing.</w:t>
      </w:r>
    </w:p>
    <w:p>
      <w:pPr>
        <w:spacing w:after="0" w:line="158" w:lineRule="exact"/>
        <w:rPr>
          <w:sz w:val="20"/>
          <w:szCs w:val="20"/>
          <w:color w:val="auto"/>
        </w:rPr>
      </w:pPr>
    </w:p>
    <w:p>
      <w:pPr>
        <w:ind w:left="1080" w:hanging="1076"/>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What I am urging your Honor to consider is it is not</w:t>
      </w:r>
    </w:p>
    <w:p>
      <w:pPr>
        <w:spacing w:after="0" w:line="157" w:lineRule="exact"/>
        <w:rPr>
          <w:rFonts w:ascii="Arial" w:cs="Arial" w:eastAsia="Arial" w:hAnsi="Arial"/>
          <w:sz w:val="18"/>
          <w:szCs w:val="18"/>
          <w:color w:val="auto"/>
        </w:rPr>
      </w:pPr>
    </w:p>
    <w:p>
      <w:pPr>
        <w:ind w:left="640" w:hanging="630"/>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 innocent to purportedly preserve the status quo by</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continuing the restraints, because we submit the current status</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quo presents a cloud on our ability to get votes.</w:t>
      </w:r>
    </w:p>
    <w:p>
      <w:pPr>
        <w:spacing w:after="0" w:line="157" w:lineRule="exact"/>
        <w:rPr>
          <w:rFonts w:ascii="Arial" w:cs="Arial" w:eastAsia="Arial" w:hAnsi="Arial"/>
          <w:sz w:val="18"/>
          <w:szCs w:val="18"/>
          <w:color w:val="auto"/>
        </w:rPr>
      </w:pPr>
    </w:p>
    <w:p>
      <w:pPr>
        <w:ind w:left="1080" w:hanging="1076"/>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What I propose we do --</w:t>
      </w:r>
    </w:p>
    <w:p>
      <w:pPr>
        <w:spacing w:after="0" w:line="157" w:lineRule="exact"/>
        <w:rPr>
          <w:rFonts w:ascii="Arial" w:cs="Arial" w:eastAsia="Arial" w:hAnsi="Arial"/>
          <w:sz w:val="18"/>
          <w:szCs w:val="18"/>
          <w:color w:val="auto"/>
        </w:rPr>
      </w:pPr>
    </w:p>
    <w:p>
      <w:pPr>
        <w:ind w:left="1080" w:hanging="1076"/>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COURT: Wait a minute. Why shouldn’t there be a</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cloud on your ability to get votes if I find that they are</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likely to prevail in demonstrating that the disclosures are</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inadequate?</w:t>
      </w:r>
    </w:p>
    <w:p>
      <w:pPr>
        <w:spacing w:after="0" w:line="157" w:lineRule="exact"/>
        <w:rPr>
          <w:rFonts w:ascii="Arial" w:cs="Arial" w:eastAsia="Arial" w:hAnsi="Arial"/>
          <w:sz w:val="18"/>
          <w:szCs w:val="18"/>
          <w:color w:val="auto"/>
        </w:rPr>
      </w:pPr>
    </w:p>
    <w:p>
      <w:pPr>
        <w:ind w:left="1080" w:hanging="1076"/>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HECHT: Two reasons. I’ll speak to the 13d point.</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don’t think they are likely to succeed on the merits. Let’s</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assume, as your Honor just supposed, that you do find that,</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then it’s still not too late. As Judge Weinfeld said, as Plant</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Industries said, as Management Assistance said, as Poughkeepsie</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said, to unscramble the transaction later, if, in fact, your</w:t>
      </w:r>
    </w:p>
    <w:p>
      <w:pPr>
        <w:spacing w:after="0" w:line="157" w:lineRule="exact"/>
        <w:rPr>
          <w:rFonts w:ascii="Arial" w:cs="Arial" w:eastAsia="Arial" w:hAnsi="Arial"/>
          <w:sz w:val="18"/>
          <w:szCs w:val="18"/>
          <w:color w:val="auto"/>
        </w:rPr>
      </w:pPr>
    </w:p>
    <w:p>
      <w:pPr>
        <w:ind w:left="640" w:hanging="6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Honor finds that the disclosures were inadequate. It is simply</w:t>
      </w:r>
    </w:p>
    <w:p>
      <w:pPr>
        <w:spacing w:after="0" w:line="3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SOUTHERN DISTRICT REPORTERS, P.C.</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(212) 805-0300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20" w:top="131"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17, 2006, Laddcap filed a definitive consent solicitation statement with the SEC relating to Laddcap’s proposal to, among other things, remove the current Board of Directors and replace them with Laddcap’s nominees. In response, on August 21, 2006, Delcath filed a definitive consent revocation statement on Form DEFC14A (the “Definitive Consent Revocation Statement”) with the SEC in opposition to Laddcap’s consent solicitation. Delcath shareholders should read the Definitive Consent Revocation Statement (including any amendments or supplements thereto) because it contains additional information important to the shareholders’ interests in Laddcap’s consent solicitation.</w:t>
      </w:r>
    </w:p>
    <w:p>
      <w:pPr>
        <w:spacing w:after="0" w:line="1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Definitive Consent Revocation Statement and other public filings made by Delcath with the SEC are available free of charge at the SEC’s website at www.sec.gov. Delcath also will provide a copy of these materials free of charge upon request to Delcath Systems, Inc., Attention: M.S. Koly, President and Chief Executive Officer, (203) 323-8668.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lvl w:ilvl="1">
      <w:lvlJc w:val="left"/>
      <w:lvlText w:val="(%2)"/>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bullet"/>
      <w:start w:val="1"/>
    </w:lvl>
  </w:abstractNum>
  <w:abstractNum w:abstractNumId="5">
    <w:nsid w:val="6763845E"/>
    <w:multiLevelType w:val="hybridMultilevel"/>
    <w:lvl w:ilvl="0">
      <w:lvlJc w:val="left"/>
      <w:lvlText w:val="3"/>
      <w:numFmt w:val="bullet"/>
      <w:start w:val="1"/>
    </w:lvl>
  </w:abstractNum>
  <w:abstractNum w:abstractNumId="6">
    <w:nsid w:val="75A2A8D4"/>
    <w:multiLevelType w:val="hybridMultilevel"/>
    <w:lvl w:ilvl="0">
      <w:lvlJc w:val="left"/>
      <w:lvlText w:val="4"/>
      <w:numFmt w:val="bullet"/>
      <w:start w:val="1"/>
    </w:lvl>
  </w:abstractNum>
  <w:abstractNum w:abstractNumId="7">
    <w:nsid w:val="8EDBDAB"/>
    <w:multiLevelType w:val="hybridMultilevel"/>
    <w:lvl w:ilvl="0">
      <w:lvlJc w:val="left"/>
      <w:lvlText w:val="5"/>
      <w:numFmt w:val="bullet"/>
      <w:start w:val="1"/>
    </w:lvl>
  </w:abstractNum>
  <w:abstractNum w:abstractNumId="8">
    <w:nsid w:val="79838CB2"/>
    <w:multiLevelType w:val="hybridMultilevel"/>
    <w:lvl w:ilvl="0">
      <w:lvlJc w:val="left"/>
      <w:lvlText w:val="6"/>
      <w:numFmt w:val="bullet"/>
      <w:start w:val="1"/>
    </w:lvl>
  </w:abstractNum>
  <w:abstractNum w:abstractNumId="9">
    <w:nsid w:val="4353D0CD"/>
    <w:multiLevelType w:val="hybridMultilevel"/>
    <w:lvl w:ilvl="0">
      <w:lvlJc w:val="left"/>
      <w:lvlText w:val="7"/>
      <w:numFmt w:val="bullet"/>
      <w:start w:val="1"/>
    </w:lvl>
  </w:abstractNum>
  <w:abstractNum w:abstractNumId="10">
    <w:nsid w:val="B03E0C6"/>
    <w:multiLevelType w:val="hybridMultilevel"/>
    <w:lvl w:ilvl="0">
      <w:lvlJc w:val="left"/>
      <w:lvlText w:val="8"/>
      <w:numFmt w:val="bullet"/>
      <w:start w:val="1"/>
    </w:lvl>
  </w:abstractNum>
  <w:abstractNum w:abstractNumId="11">
    <w:nsid w:val="189A769B"/>
    <w:multiLevelType w:val="hybridMultilevel"/>
    <w:lvl w:ilvl="0">
      <w:lvlJc w:val="left"/>
      <w:lvlText w:val="9"/>
      <w:numFmt w:val="bullet"/>
      <w:start w:val="1"/>
    </w:lvl>
  </w:abstractNum>
  <w:abstractNum w:abstractNumId="12">
    <w:nsid w:val="54E49EB4"/>
    <w:multiLevelType w:val="hybridMultilevel"/>
    <w:lvl w:ilvl="0">
      <w:lvlJc w:val="left"/>
      <w:lvlText w:val="%1"/>
      <w:numFmt w:val="decimal"/>
      <w:start w:val="10"/>
    </w:lvl>
  </w:abstractNum>
  <w:abstractNum w:abstractNumId="13">
    <w:nsid w:val="71F32454"/>
    <w:multiLevelType w:val="hybridMultilevel"/>
    <w:lvl w:ilvl="0">
      <w:lvlJc w:val="left"/>
      <w:lvlText w:val="1"/>
      <w:numFmt w:val="bullet"/>
      <w:start w:val="1"/>
    </w:lvl>
  </w:abstractNum>
  <w:abstractNum w:abstractNumId="14">
    <w:nsid w:val="2CA88611"/>
    <w:multiLevelType w:val="hybridMultilevel"/>
    <w:lvl w:ilvl="0">
      <w:lvlJc w:val="left"/>
      <w:lvlText w:val="2"/>
      <w:numFmt w:val="bullet"/>
      <w:start w:val="1"/>
    </w:lvl>
  </w:abstractNum>
  <w:abstractNum w:abstractNumId="15">
    <w:nsid w:val="836C40E"/>
    <w:multiLevelType w:val="hybridMultilevel"/>
    <w:lvl w:ilvl="0">
      <w:lvlJc w:val="left"/>
      <w:lvlText w:val="3"/>
      <w:numFmt w:val="bullet"/>
      <w:start w:val="1"/>
    </w:lvl>
  </w:abstractNum>
  <w:abstractNum w:abstractNumId="16">
    <w:nsid w:val="2901D82"/>
    <w:multiLevelType w:val="hybridMultilevel"/>
    <w:lvl w:ilvl="0">
      <w:lvlJc w:val="left"/>
      <w:lvlText w:val="5"/>
      <w:numFmt w:val="bullet"/>
      <w:start w:val="1"/>
    </w:lvl>
  </w:abstractNum>
  <w:abstractNum w:abstractNumId="17">
    <w:nsid w:val="3A95F874"/>
    <w:multiLevelType w:val="hybridMultilevel"/>
    <w:lvl w:ilvl="0">
      <w:lvlJc w:val="left"/>
      <w:lvlText w:val="6"/>
      <w:numFmt w:val="bullet"/>
      <w:start w:val="1"/>
    </w:lvl>
  </w:abstractNum>
  <w:abstractNum w:abstractNumId="18">
    <w:nsid w:val="8138641"/>
    <w:multiLevelType w:val="hybridMultilevel"/>
    <w:lvl w:ilvl="0">
      <w:lvlJc w:val="left"/>
      <w:lvlText w:val="8"/>
      <w:numFmt w:val="bullet"/>
      <w:start w:val="1"/>
    </w:lvl>
  </w:abstractNum>
  <w:abstractNum w:abstractNumId="19">
    <w:nsid w:val="1E7FF521"/>
    <w:multiLevelType w:val="hybridMultilevel"/>
    <w:lvl w:ilvl="0">
      <w:lvlJc w:val="left"/>
      <w:lvlText w:val="9"/>
      <w:numFmt w:val="bullet"/>
      <w:start w:val="1"/>
    </w:lvl>
  </w:abstractNum>
  <w:abstractNum w:abstractNumId="20">
    <w:nsid w:val="7C3DBD3D"/>
    <w:multiLevelType w:val="hybridMultilevel"/>
    <w:lvl w:ilvl="0">
      <w:lvlJc w:val="left"/>
      <w:lvlText w:val="%1"/>
      <w:numFmt w:val="decimal"/>
      <w:start w:val="11"/>
    </w:lvl>
  </w:abstractNum>
  <w:abstractNum w:abstractNumId="21">
    <w:nsid w:val="737B8DDC"/>
    <w:multiLevelType w:val="hybridMultilevel"/>
    <w:lvl w:ilvl="0">
      <w:lvlJc w:val="left"/>
      <w:lvlText w:val="1"/>
      <w:numFmt w:val="bullet"/>
      <w:start w:val="1"/>
    </w:lvl>
  </w:abstractNum>
  <w:abstractNum w:abstractNumId="22">
    <w:nsid w:val="6CEAF087"/>
    <w:multiLevelType w:val="hybridMultilevel"/>
    <w:lvl w:ilvl="0">
      <w:lvlJc w:val="left"/>
      <w:lvlText w:val="2"/>
      <w:numFmt w:val="bullet"/>
      <w:start w:val="1"/>
    </w:lvl>
  </w:abstractNum>
  <w:abstractNum w:abstractNumId="23">
    <w:nsid w:val="22221A70"/>
    <w:multiLevelType w:val="hybridMultilevel"/>
    <w:lvl w:ilvl="0">
      <w:lvlJc w:val="left"/>
      <w:lvlText w:val="3"/>
      <w:numFmt w:val="bullet"/>
      <w:start w:val="1"/>
    </w:lvl>
  </w:abstractNum>
  <w:abstractNum w:abstractNumId="24">
    <w:nsid w:val="4516DDE9"/>
    <w:multiLevelType w:val="hybridMultilevel"/>
    <w:lvl w:ilvl="0">
      <w:lvlJc w:val="left"/>
      <w:lvlText w:val="8"/>
      <w:numFmt w:val="bullet"/>
      <w:start w:val="1"/>
    </w:lvl>
  </w:abstractNum>
  <w:abstractNum w:abstractNumId="25">
    <w:nsid w:val="3006C83E"/>
    <w:multiLevelType w:val="hybridMultilevel"/>
    <w:lvl w:ilvl="0">
      <w:lvlJc w:val="left"/>
      <w:lvlText w:val="%1"/>
      <w:numFmt w:val="decimal"/>
      <w:start w:val="10"/>
    </w:lvl>
  </w:abstractNum>
  <w:abstractNum w:abstractNumId="26">
    <w:nsid w:val="614FD4A1"/>
    <w:multiLevelType w:val="hybridMultilevel"/>
    <w:lvl w:ilvl="0">
      <w:lvlJc w:val="left"/>
      <w:lvlText w:val="1"/>
      <w:numFmt w:val="bullet"/>
      <w:start w:val="1"/>
    </w:lvl>
  </w:abstractNum>
  <w:abstractNum w:abstractNumId="27">
    <w:nsid w:val="419AC241"/>
    <w:multiLevelType w:val="hybridMultilevel"/>
    <w:lvl w:ilvl="0">
      <w:lvlJc w:val="left"/>
      <w:lvlText w:val="2"/>
      <w:numFmt w:val="bullet"/>
      <w:start w:val="1"/>
    </w:lvl>
  </w:abstractNum>
  <w:abstractNum w:abstractNumId="28">
    <w:nsid w:val="5577F8E1"/>
    <w:multiLevelType w:val="hybridMultilevel"/>
    <w:lvl w:ilvl="0">
      <w:lvlJc w:val="left"/>
      <w:lvlText w:val="3"/>
      <w:numFmt w:val="bullet"/>
      <w:start w:val="1"/>
    </w:lvl>
  </w:abstractNum>
  <w:abstractNum w:abstractNumId="29">
    <w:nsid w:val="440BADFC"/>
    <w:multiLevelType w:val="hybridMultilevel"/>
    <w:lvl w:ilvl="0">
      <w:lvlJc w:val="left"/>
      <w:lvlText w:val="4"/>
      <w:numFmt w:val="bullet"/>
      <w:start w:val="1"/>
    </w:lvl>
  </w:abstractNum>
  <w:abstractNum w:abstractNumId="30">
    <w:nsid w:val="5072367"/>
    <w:multiLevelType w:val="hybridMultilevel"/>
    <w:lvl w:ilvl="0">
      <w:lvlJc w:val="left"/>
      <w:lvlText w:val="7"/>
      <w:numFmt w:val="bullet"/>
      <w:start w:val="1"/>
    </w:lvl>
  </w:abstractNum>
  <w:abstractNum w:abstractNumId="31">
    <w:nsid w:val="3804823E"/>
    <w:multiLevelType w:val="hybridMultilevel"/>
    <w:lvl w:ilvl="0">
      <w:lvlJc w:val="left"/>
      <w:lvlText w:val="8"/>
      <w:numFmt w:val="bullet"/>
      <w:start w:val="1"/>
    </w:lvl>
  </w:abstractNum>
  <w:abstractNum w:abstractNumId="32">
    <w:nsid w:val="77465F01"/>
    <w:multiLevelType w:val="hybridMultilevel"/>
    <w:lvl w:ilvl="0">
      <w:lvlJc w:val="left"/>
      <w:lvlText w:val="%1"/>
      <w:numFmt w:val="decimal"/>
      <w:start w:val="10"/>
    </w:lvl>
  </w:abstractNum>
  <w:abstractNum w:abstractNumId="33">
    <w:nsid w:val="7724C67E"/>
    <w:multiLevelType w:val="hybridMultilevel"/>
    <w:lvl w:ilvl="0">
      <w:lvlJc w:val="left"/>
      <w:lvlText w:val="1"/>
      <w:numFmt w:val="bullet"/>
      <w:start w:val="1"/>
    </w:lvl>
  </w:abstractNum>
  <w:abstractNum w:abstractNumId="34">
    <w:nsid w:val="5C482A97"/>
    <w:multiLevelType w:val="hybridMultilevel"/>
    <w:lvl w:ilvl="0">
      <w:lvlJc w:val="left"/>
      <w:lvlText w:val="2"/>
      <w:numFmt w:val="bullet"/>
      <w:start w:val="1"/>
    </w:lvl>
  </w:abstractNum>
  <w:abstractNum w:abstractNumId="35">
    <w:nsid w:val="2463B9EA"/>
    <w:multiLevelType w:val="hybridMultilevel"/>
    <w:lvl w:ilvl="0">
      <w:lvlJc w:val="left"/>
      <w:lvlText w:val="3"/>
      <w:numFmt w:val="bullet"/>
      <w:start w:val="1"/>
    </w:lvl>
  </w:abstractNum>
  <w:abstractNum w:abstractNumId="36">
    <w:nsid w:val="5E884ADC"/>
    <w:multiLevelType w:val="hybridMultilevel"/>
    <w:lvl w:ilvl="0">
      <w:lvlJc w:val="left"/>
      <w:lvlText w:val="5"/>
      <w:numFmt w:val="bullet"/>
      <w:start w:val="1"/>
    </w:lvl>
  </w:abstractNum>
  <w:abstractNum w:abstractNumId="37">
    <w:nsid w:val="51EAD36B"/>
    <w:multiLevelType w:val="hybridMultilevel"/>
    <w:lvl w:ilvl="0">
      <w:lvlJc w:val="left"/>
      <w:lvlText w:val="6"/>
      <w:numFmt w:val="bullet"/>
      <w:start w:val="1"/>
    </w:lvl>
  </w:abstractNum>
  <w:abstractNum w:abstractNumId="38">
    <w:nsid w:val="2D517796"/>
    <w:multiLevelType w:val="hybridMultilevel"/>
    <w:lvl w:ilvl="0">
      <w:lvlJc w:val="left"/>
      <w:lvlText w:val="7"/>
      <w:numFmt w:val="bullet"/>
      <w:start w:val="1"/>
    </w:lvl>
  </w:abstractNum>
  <w:abstractNum w:abstractNumId="39">
    <w:nsid w:val="580BD78F"/>
    <w:multiLevelType w:val="hybridMultilevel"/>
    <w:lvl w:ilvl="0">
      <w:lvlJc w:val="left"/>
      <w:lvlText w:val="9"/>
      <w:numFmt w:val="bullet"/>
      <w:start w:val="1"/>
    </w:lvl>
  </w:abstractNum>
  <w:abstractNum w:abstractNumId="40">
    <w:nsid w:val="153EA43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2019-12-11T22:32:39Z</dcterms:created>
  <dcterms:modified xsi:type="dcterms:W3CDTF">2019-12-11T22:32:39Z</dcterms:modified>
</cp:coreProperties>
</file>