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w:t>
      </w: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8"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9"/>
          <w:szCs w:val="39"/>
          <w:b w:val="1"/>
          <w:bCs w:val="1"/>
          <w:color w:val="auto"/>
        </w:rPr>
        <w:t>DELCATH SYSTEMS, INC.</w:t>
      </w:r>
    </w:p>
    <w:p>
      <w:pPr>
        <w:spacing w:after="0" w:line="4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5"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_____________________</w:t>
      </w:r>
    </w:p>
    <w:p>
      <w:pPr>
        <w:spacing w:after="0" w:line="86" w:lineRule="exact"/>
        <w:rPr>
          <w:sz w:val="24"/>
          <w:szCs w:val="24"/>
          <w:color w:val="auto"/>
        </w:rPr>
      </w:pPr>
    </w:p>
    <w:tbl>
      <w:tblPr>
        <w:tblLayout w:type="fixed"/>
        <w:tblInd w:w="180" w:type="dxa"/>
        <w:tblCellMar>
          <w:top w:w="0" w:type="dxa"/>
          <w:left w:w="0" w:type="dxa"/>
          <w:bottom w:w="0" w:type="dxa"/>
          <w:right w:w="0" w:type="dxa"/>
        </w:tblCellMar>
      </w:tblPr>
      <w:tr>
        <w:trPr>
          <w:trHeight w:val="190"/>
        </w:trPr>
        <w:tc>
          <w:tcPr>
            <w:tcW w:w="33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60" w:type="dxa"/>
            <w:vAlign w:val="bottom"/>
          </w:tcPr>
          <w:p>
            <w:pPr>
              <w:jc w:val="right"/>
              <w:ind w:right="1828"/>
              <w:spacing w:after="0"/>
              <w:rPr>
                <w:sz w:val="20"/>
                <w:szCs w:val="20"/>
                <w:color w:val="auto"/>
              </w:rPr>
            </w:pPr>
            <w:r>
              <w:rPr>
                <w:rFonts w:ascii="Times New Roman" w:cs="Times New Roman" w:eastAsia="Times New Roman" w:hAnsi="Times New Roman"/>
                <w:sz w:val="14"/>
                <w:szCs w:val="14"/>
                <w:b w:val="1"/>
                <w:bCs w:val="1"/>
                <w:color w:val="auto"/>
              </w:rPr>
              <w:t>001-16133</w:t>
            </w:r>
          </w:p>
        </w:tc>
        <w:tc>
          <w:tcPr>
            <w:tcW w:w="320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06-1245881</w:t>
            </w:r>
          </w:p>
        </w:tc>
      </w:tr>
      <w:tr>
        <w:trPr>
          <w:trHeight w:val="161"/>
        </w:trPr>
        <w:tc>
          <w:tcPr>
            <w:tcW w:w="330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200" w:type="dxa"/>
            <w:vAlign w:val="bottom"/>
          </w:tcPr>
          <w:p>
            <w:pPr>
              <w:jc w:val="center"/>
              <w:ind w:left="1328"/>
              <w:spacing w:after="0"/>
              <w:rPr>
                <w:sz w:val="20"/>
                <w:szCs w:val="20"/>
                <w:color w:val="auto"/>
              </w:rPr>
            </w:pPr>
            <w:r>
              <w:rPr>
                <w:rFonts w:ascii="Times New Roman" w:cs="Times New Roman" w:eastAsia="Times New Roman" w:hAnsi="Times New Roman"/>
                <w:sz w:val="14"/>
                <w:szCs w:val="14"/>
                <w:b w:val="1"/>
                <w:bCs w:val="1"/>
                <w:color w:val="auto"/>
              </w:rPr>
              <w:t>(IRS Employer Identification</w:t>
            </w:r>
          </w:p>
        </w:tc>
      </w:tr>
      <w:tr>
        <w:trPr>
          <w:trHeight w:val="190"/>
        </w:trPr>
        <w:tc>
          <w:tcPr>
            <w:tcW w:w="330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60" w:type="dxa"/>
            <w:vAlign w:val="bottom"/>
          </w:tcPr>
          <w:p>
            <w:pPr>
              <w:spacing w:after="0"/>
              <w:rPr>
                <w:sz w:val="16"/>
                <w:szCs w:val="16"/>
                <w:color w:val="auto"/>
              </w:rPr>
            </w:pPr>
          </w:p>
        </w:tc>
        <w:tc>
          <w:tcPr>
            <w:tcW w:w="320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No.)</w:t>
            </w:r>
          </w:p>
        </w:tc>
      </w:tr>
    </w:tbl>
    <w:p>
      <w:pPr>
        <w:spacing w:after="0" w:line="14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566 Queensbury Avenue</w:t>
      </w:r>
    </w:p>
    <w:p>
      <w:pPr>
        <w:spacing w:after="0" w:line="2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Queensbury, NY 12804</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(518) 743-8892</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w:t>
      </w:r>
    </w:p>
    <w:p>
      <w:pPr>
        <w:spacing w:after="0" w:line="23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120" w:type="dxa"/>
            <w:vAlign w:val="bottom"/>
          </w:tcPr>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060" w:type="dxa"/>
            <w:vAlign w:val="bottom"/>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203"/>
        </w:trPr>
        <w:tc>
          <w:tcPr>
            <w:tcW w:w="4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060" w:type="dxa"/>
            <w:vAlign w:val="bottom"/>
          </w:tcPr>
          <w:p>
            <w:pPr>
              <w:jc w:val="center"/>
              <w:ind w:left="311"/>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30"/>
        </w:trPr>
        <w:tc>
          <w:tcPr>
            <w:tcW w:w="41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2"/>
        </w:trPr>
        <w:tc>
          <w:tcPr>
            <w:tcW w:w="412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302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DCTH</w:t>
            </w:r>
          </w:p>
        </w:tc>
        <w:tc>
          <w:tcPr>
            <w:tcW w:w="4060" w:type="dxa"/>
            <w:vAlign w:val="bottom"/>
          </w:tcPr>
          <w:p>
            <w:pPr>
              <w:jc w:val="center"/>
              <w:ind w:left="311"/>
              <w:spacing w:after="0"/>
              <w:rPr>
                <w:sz w:val="20"/>
                <w:szCs w:val="20"/>
                <w:color w:val="auto"/>
              </w:rPr>
            </w:pPr>
            <w:r>
              <w:rPr>
                <w:rFonts w:ascii="Times New Roman" w:cs="Times New Roman" w:eastAsia="Times New Roman" w:hAnsi="Times New Roman"/>
                <w:sz w:val="16"/>
                <w:szCs w:val="16"/>
                <w:b w:val="1"/>
                <w:bCs w:val="1"/>
                <w:color w:val="auto"/>
              </w:rPr>
              <w:t xml:space="preserve">The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6"/>
                <w:szCs w:val="16"/>
                <w:b w:val="1"/>
                <w:bCs w:val="1"/>
                <w:color w:val="auto"/>
              </w:rPr>
              <w:t xml:space="preserve"> Capital Market</w:t>
            </w:r>
          </w:p>
        </w:tc>
      </w:tr>
    </w:tbl>
    <w:p>
      <w:pPr>
        <w:spacing w:after="0" w:line="342" w:lineRule="exact"/>
        <w:rPr>
          <w:sz w:val="24"/>
          <w:szCs w:val="24"/>
          <w:color w:val="auto"/>
        </w:rPr>
      </w:pPr>
    </w:p>
    <w:p>
      <w:pPr>
        <w:jc w:val="both"/>
        <w:ind w:right="20" w:firstLine="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40" w:firstLine="4"/>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41" w:right="379" w:bottom="1440" w:gutter="0" w:footer="0" w:header="0"/>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23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7, 2026, Delcath Systems, Inc. (“Delcath”) issued a press release announcing financial results and business highlights for the quarter ended March 31, 2026 (the “Press Release”). A copy of the press release is furnished pursuant to Item 2.02 as Exhibit 99.1 hereto and is incorporated herein by reference.</w:t>
      </w:r>
    </w:p>
    <w:p>
      <w:pPr>
        <w:spacing w:after="0" w:line="20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The information contained in this Current Report on Form 8-K, including the Press Release, shall not be deemed “filed” for purposes of Section 18 of the Securities Exchange Act of 1934, as amended, or otherwise subject to the liabilities of that Section or Sections 11 and 12(a)(2) of the Securities Act of 1933, as amended. The information contained herein and in the Press Release shall not be incorporated by reference into any filing with the U.S. Securities and Exchange Commission by Delcath whether made before or after the date hereof, regardless of any general incorporation language in such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60" w:type="dxa"/>
            <w:vAlign w:val="bottom"/>
          </w:tcPr>
          <w:p>
            <w:pPr>
              <w:spacing w:after="0"/>
              <w:rPr>
                <w:sz w:val="20"/>
                <w:szCs w:val="20"/>
                <w:color w:val="auto"/>
              </w:rPr>
            </w:pPr>
          </w:p>
        </w:tc>
      </w:tr>
      <w:tr>
        <w:trPr>
          <w:trHeight w:val="25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2"/>
                <w:szCs w:val="22"/>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2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4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May 7, 2026</w:t>
            </w:r>
          </w:p>
        </w:tc>
        <w:tc>
          <w:tcPr>
            <w:tcW w:w="6460" w:type="dxa"/>
            <w:vAlign w:val="bottom"/>
            <w:tcBorders>
              <w:top w:val="single" w:sz="8" w:color="auto"/>
            </w:tcBorders>
          </w:tcPr>
          <w:p>
            <w:pPr>
              <w:spacing w:after="0"/>
              <w:rPr>
                <w:sz w:val="15"/>
                <w:szCs w:val="15"/>
                <w:color w:val="auto"/>
              </w:rPr>
            </w:pP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2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DELCATH SYSTEMS, INC.</w:t>
      </w:r>
    </w:p>
    <w:p>
      <w:pPr>
        <w:spacing w:after="0" w:line="266" w:lineRule="exact"/>
        <w:rPr>
          <w:sz w:val="20"/>
          <w:szCs w:val="20"/>
          <w:color w:val="auto"/>
        </w:rPr>
      </w:pPr>
    </w:p>
    <w:p>
      <w:pPr>
        <w:ind w:left="20"/>
        <w:spacing w:after="0"/>
        <w:tabs>
          <w:tab w:leader="none" w:pos="5060" w:val="left"/>
          <w:tab w:leader="none" w:pos="56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Sandra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34290</wp:posOffset>
            </wp:positionV>
            <wp:extent cx="3574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Sandra Pennell</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0"/>
          </w:cols>
          <w:pgMar w:left="320" w:top="1413"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Delcath Systems Reports First Quarter 2026</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Results and Business Highlights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2026 Revenue Guidance of at least $100M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Conference Call Today at 8:30 a.m. Eastern Time</w:t>
      </w:r>
    </w:p>
    <w:p>
      <w:pPr>
        <w:spacing w:after="0" w:line="214" w:lineRule="exact"/>
        <w:rPr>
          <w:sz w:val="20"/>
          <w:szCs w:val="20"/>
          <w:color w:val="auto"/>
        </w:rPr>
      </w:pPr>
    </w:p>
    <w:p>
      <w:pPr>
        <w:jc w:val="both"/>
        <w:ind w:right="80"/>
        <w:spacing w:after="0" w:line="295" w:lineRule="auto"/>
        <w:rPr>
          <w:sz w:val="20"/>
          <w:szCs w:val="20"/>
          <w:color w:val="auto"/>
        </w:rPr>
      </w:pPr>
      <w:r>
        <w:rPr>
          <w:rFonts w:ascii="Times New Roman" w:cs="Times New Roman" w:eastAsia="Times New Roman" w:hAnsi="Times New Roman"/>
          <w:sz w:val="19"/>
          <w:szCs w:val="19"/>
          <w:color w:val="auto"/>
        </w:rPr>
        <w:t>QUEENSBURY, NY – May 7, 2026, Delcath Systems, Inc. (Nasdaq: DCTH), an interventional oncology company focused on the treatment of primary and metastatic liver cancers, today announced financial results and business highlights for the first quarter ended March 31,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Results</w:t>
      </w:r>
    </w:p>
    <w:p>
      <w:pPr>
        <w:spacing w:after="0" w:line="26"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$25.0 million, compared with $19.8 million in the first quarter of 2025</w:t>
      </w:r>
    </w:p>
    <w:p>
      <w:pPr>
        <w:spacing w:after="0" w:line="7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HEPZATO KIT™ revenue of $23.3 million, compared to $18.0 million in the first quarter of 2025</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CHEMOSAT® revenue of $1.7 million, compared to $1.8 million in the first quarter of 2025</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margins of 85%, compared to 86% in the first quarter of 2025</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$1.1 million, compared to a net income of $1.1 million in the first quarter of 2025</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adjusted EBITDA of $3.4 million, compared to $7.6 million in the first quarter of 2025</w:t>
      </w:r>
    </w:p>
    <w:p>
      <w:pPr>
        <w:spacing w:after="0" w:line="107"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provided by operations of $0.9 million in the quarter; compared to $2.2 million provided by operations in the first quarter of 2025</w:t>
      </w:r>
    </w:p>
    <w:p>
      <w:pPr>
        <w:spacing w:after="0" w:line="51"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316,023 common shares for proceeds of approximately $3.0 million in the first quarter of 2026 under the approved $25 million Share Buyback Program</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investments of $89.3 million as of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Highlights</w:t>
      </w:r>
    </w:p>
    <w:p>
      <w:pPr>
        <w:spacing w:after="0" w:line="98"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Currently 29 active centers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36% growth in HEPZATO volume in the first quarter 2026 compared to the first quarter 2025</w:t>
      </w:r>
    </w:p>
    <w:p>
      <w:pPr>
        <w:spacing w:after="0" w:line="107"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the publication of full results from the investigator-initiated CHOPIN randomized Phase 2 trial in The Lancet Oncology, demonstrating that adding ipilimumab and nivolumab to percutaneous hepatic perfusion significantly improved progression-free survival in metastatic uveal melanoma.</w:t>
      </w:r>
    </w:p>
    <w:p>
      <w:pPr>
        <w:spacing w:after="0" w:line="73" w:lineRule="exact"/>
        <w:rPr>
          <w:rFonts w:ascii="Times New Roman" w:cs="Times New Roman" w:eastAsia="Times New Roman" w:hAnsi="Times New Roman"/>
          <w:sz w:val="20"/>
          <w:szCs w:val="20"/>
          <w:color w:val="auto"/>
        </w:rPr>
      </w:pPr>
    </w:p>
    <w:p>
      <w:pPr>
        <w:jc w:val="both"/>
        <w:ind w:left="660" w:right="2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Announced that CHEMOSAT Hepatic Delivery System for Melphalan percutaneous hepatic perfusion (M-PHP) has been included as a recommended liver-directed regional therapy option in the newly published </w:t>
      </w:r>
      <w:r>
        <w:rPr>
          <w:rFonts w:ascii="Times New Roman" w:cs="Times New Roman" w:eastAsia="Times New Roman" w:hAnsi="Times New Roman"/>
          <w:sz w:val="20"/>
          <w:szCs w:val="20"/>
          <w:i w:val="1"/>
          <w:iCs w:val="1"/>
          <w:color w:val="auto"/>
        </w:rPr>
        <w:t>Uveal Melanoma: ESMO–EURACAN Clinical Practice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Guideline for diagnosis, treatment and follow-up </w:t>
      </w:r>
      <w:r>
        <w:rPr>
          <w:rFonts w:ascii="Times New Roman" w:cs="Times New Roman" w:eastAsia="Times New Roman" w:hAnsi="Times New Roman"/>
          <w:sz w:val="20"/>
          <w:szCs w:val="20"/>
          <w:color w:val="auto"/>
        </w:rPr>
        <w:t>(April 2026)</w:t>
      </w:r>
    </w:p>
    <w:p>
      <w:pPr>
        <w:spacing w:after="0" w:line="316"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0"/>
          <w:szCs w:val="20"/>
          <w:color w:val="auto"/>
        </w:rPr>
        <w:t>“We delivered a strong first quarter, marked by 20% volume growth over the prior quarter and a strong increase in new patient starts.” said Gerard Michel, Chief Executive Officer. “The recent publication of the full CHOPIN results in The Lancet Oncology is already having a meaningful impact on prescribing patterns, further validating HEPZATO KIT and positioning us for continued momentum and long-term value for patients and shareholders alike.”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Full Year Financial Guidance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financial outlook for fiscal year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300" w:hanging="328"/>
        <w:spacing w:after="0" w:line="255"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CHEMOSAT and HEPZATO KIT revenue to be at least $100 million, reflecting an increase in HEPZATO KIT volume of at least 20% over 2025</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margins in the range of 84% to 87%</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adjusted EBITDA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Results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revenue for the quarter ending March 31, 2026 was $25.0 million compared to $19.8 million for the same period in the prior year.</w:t>
      </w:r>
    </w:p>
    <w:p>
      <w:pPr>
        <w:spacing w:after="0"/>
        <w:rPr>
          <w:sz w:val="20"/>
          <w:szCs w:val="20"/>
          <w:color w:val="auto"/>
        </w:rPr>
      </w:pPr>
      <w:r>
        <w:rPr>
          <w:rFonts w:ascii="Times New Roman" w:cs="Times New Roman" w:eastAsia="Times New Roman" w:hAnsi="Times New Roman"/>
          <w:sz w:val="20"/>
          <w:szCs w:val="20"/>
          <w:color w:val="auto"/>
        </w:rPr>
        <w:t>Revenue in the quarter includes sales of $23.3 million of HEPZATO in the U.S. and $1.7 million of CHEMOSAT in Europe.</w:t>
      </w:r>
    </w:p>
    <w:p>
      <w:pPr>
        <w:spacing w:after="0" w:line="32"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9"/>
          <w:szCs w:val="19"/>
          <w:color w:val="auto"/>
        </w:rPr>
        <w:t>Research and development expenses for the quarter ending March 31, 2026, were $9.8 million compared to $5.0 million for the same period in the prior year. The increase is primarily due to the continued costs associated with expanding the clinical team, including the share-based compensation expense related to an increase in headcount, and continuation of the Phase 2 clinical trials evaluating HEPZATO.</w:t>
      </w:r>
    </w:p>
    <w:p>
      <w:pPr>
        <w:spacing w:after="0" w:line="183"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20"/>
          <w:szCs w:val="20"/>
          <w:color w:val="auto"/>
        </w:rPr>
        <w:t>Selling, general and administrative expenses for the quarter ended March 31, 2026, were $13.1 million compared to $11.3 million for the same period in the prior year. The increase is primarily due to continued commercial expansion activities including marketing-related expenses, additional personnel in the commercial team and share-based compensation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loss for the quarter ended March 31, 2026 was $1.1 million compared to net income of $1.1 million for the same period in the prior year.</w:t>
      </w:r>
    </w:p>
    <w:p>
      <w:pPr>
        <w:spacing w:after="0" w:line="18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Non-GAAP adjusted EBITDA for the quarter ended March 31, 2026 was $3.4 million compared to adjusted EBITDA of $7.6 million for the same period in the prior year. A table reconciling non-GAAP measures is included in this press release for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2026, the Company had $89.3 million in cash and investments, and no debt.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this event, dial in approximately 5 to 10 minutes before the beginning of the call.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 Date: Thursday, May 7,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8:30 AM Eastern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Numbers: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Toll Free: 1-800-717-1738</w:t>
      </w:r>
    </w:p>
    <w:p>
      <w:pPr>
        <w:spacing w:after="0"/>
        <w:rPr>
          <w:sz w:val="20"/>
          <w:szCs w:val="20"/>
          <w:color w:val="auto"/>
        </w:rPr>
      </w:pPr>
      <w:r>
        <w:rPr>
          <w:rFonts w:ascii="Times New Roman" w:cs="Times New Roman" w:eastAsia="Times New Roman" w:hAnsi="Times New Roman"/>
          <w:sz w:val="20"/>
          <w:szCs w:val="20"/>
          <w:color w:val="auto"/>
        </w:rPr>
        <w:t>International: 1-646-307-1865</w:t>
      </w:r>
    </w:p>
    <w:p>
      <w:pPr>
        <w:spacing w:after="0"/>
        <w:rPr>
          <w:sz w:val="20"/>
          <w:szCs w:val="20"/>
          <w:color w:val="auto"/>
        </w:rPr>
      </w:pPr>
      <w:r>
        <w:rPr>
          <w:rFonts w:ascii="Times New Roman" w:cs="Times New Roman" w:eastAsia="Times New Roman" w:hAnsi="Times New Roman"/>
          <w:sz w:val="20"/>
          <w:szCs w:val="20"/>
          <w:color w:val="auto"/>
        </w:rPr>
        <w:t>Webcast: https://viavid.webcasts.com/starthere.jsp?ei=1757946&amp;tp_key=463dd4d428</w:t>
      </w:r>
    </w:p>
    <w:p>
      <w:pPr>
        <w:spacing w:after="0" w:line="207" w:lineRule="exact"/>
        <w:rPr>
          <w:sz w:val="20"/>
          <w:szCs w:val="20"/>
          <w:color w:val="auto"/>
        </w:rPr>
      </w:pPr>
    </w:p>
    <w:p>
      <w:pPr>
        <w:ind w:right="1200"/>
        <w:spacing w:after="0" w:line="269" w:lineRule="auto"/>
        <w:rPr>
          <w:sz w:val="20"/>
          <w:szCs w:val="20"/>
          <w:color w:val="auto"/>
        </w:rPr>
      </w:pPr>
      <w:r>
        <w:rPr>
          <w:rFonts w:ascii="Times New Roman" w:cs="Times New Roman" w:eastAsia="Times New Roman" w:hAnsi="Times New Roman"/>
          <w:sz w:val="20"/>
          <w:szCs w:val="20"/>
          <w:color w:val="auto"/>
        </w:rPr>
        <w:t>A replay of the webinar will be available shortly after the conclusion of the call and will be archived on the company's website https://investors.delcath.com/news-events/events-and-presentations.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GAAP v. Non-GAAP Measures</w:t>
      </w:r>
    </w:p>
    <w:p>
      <w:pPr>
        <w:spacing w:after="0" w:line="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Delcath’s reported earnings are prepared in accordance with generally accepted accounting principles in the United States, or GAAP, and represent earnings as reported to the Securities and Exchange Commission. Delcath has provided in this release certain financial information that has not been prepared in accordance with GAAP. Delcath’s management believes that the non-GAAP adjusted EBITDA described in this release, which includes adjustments for specific items that are generally not indicative of our core operations, provides additional information that is useful to investors in understanding Delcath’s underlying performance, business and performance trends, and helps facilitate period-to-period comparisons and comparisons of its financial measures with other companies in Delcath’s industry. However, the non-GAAP financial measures that Delcath uses may differ from measures that other companies may use. Non-GAAP financial measures are not required to be uniformly applied, are not audited and should not be considered in isolation or as substitutes for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Delcath Systems, Inc., HEPZATO KIT and CHEMOSAT</w:t>
      </w:r>
    </w:p>
    <w:p>
      <w:pPr>
        <w:spacing w:after="0" w:line="2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Delcath Systems, Inc. is an interventional oncology company focused on the treatment of primary and metastatic liver cancers. The company's proprietary products, HEPZATO KIT™ (HEPZATO (melphalan) for Injection/Hepatic Delivery System) and CHEMOSAT® Hepatic Delivery System (HDS) for Melphalan percutaneous hepatic perfusion (PHP), are designed to administer high-dose chemotherapy to the liver while controlling systemic exposure and associated side effects during a PHP procedure.</w:t>
      </w: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In the United States, HEPZATO KIT is considered a combination drug and device product and is regulated and approved for sale as a drug by the FDA. HEPZATO KIT is comprised of the chemotherapeutic drug melphalan and Delcath</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s proprietary HDS. The HDS is used to isolate the hepatic venous blood from the systemic circulation while simultaneously filtrating hepatic venous blood during melphalan infusion and washout. The use of the HDS results in loco-regional delivery of a relatively high melphalan dose, which can potentially induce a clinically meaningful tumor response with minimal hepatotoxicity and reduce systemic exposure. HEPZATO KIT is approved in the United States as a liver-directed treatment for adult patients with metastatic uveal melanoma (mUM) with unresectable hepatic metastases affecting less than 50% of the liver and no extrahepatic disease, or extrahepatic disease limited to the bone, lymph nodes, subcutaneous tissues, or lung that is amenable to resection or radiation. Please see the full Prescribing Information, including BOXED WARNING for the HEPZATO KIT.</w:t>
      </w:r>
    </w:p>
    <w:p>
      <w:pPr>
        <w:spacing w:after="0" w:line="20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In Europe, the device-only configuration of the HDS is regulated as a Class III medical device and is approved for sale under the trade name CHEMOSAT Hepatic Delivery System for Melphalan, or CHEMOSAT, where it has been used in the conduct of percutaneous hepatic perfusion procedures at major medical centers to treat a wide range of cancers of the liver.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 Forward-Looking Statements</w:t>
      </w:r>
    </w:p>
    <w:p>
      <w:pPr>
        <w:spacing w:after="0" w:line="2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i w:val="1"/>
          <w:iCs w:val="1"/>
          <w:color w:val="auto"/>
        </w:rPr>
        <w:t>The Private Securities Litigation Reform Act of 1995 provides a safe harbor for forward-looking statements made by the Company or on its behalf. This press release contains forward-looking statements, including the Company’s statements regarding the possible synergy seen in the successful Phase 2 CHOPIN Trial being transferable to clinical practice; Company’s 2026 financial outlook, which are subject to certain risks and uncertainties, that can cause actual results to differ materially from those described.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Factors that may cause such differences include, but are not limited to, uncertainties relating to: the Company’s commercialization plans and its ability to successfully commercialize the HEPZATO KIT; contributions to adjusted EBITDA; the Company’s successful management of the HEPZATO KIT supply chain, including securing adequate supply of critical components necessary to manufacture and assemble the HEPZATO KIT; successful FDA inspections of the facilities of the Company and those of its third-party suppliers/manufacturers; the Company’s successful implementation and management of the HEPZATO KIT Risk Evaluation and Mitigation Strategy; the potential benefits of the HEPZATO KIT as a treatment for patients with primary and metastatic disease in the liver; the Company’s ability to obtain reimbursement for the HEPZATO KIT; and the Company’s ability to successfully enter into any necessary purchase and sale agreements with users of the HEPZATO KIT. For additional information about these factors, and others that may impact the Company, please see the Company’s filings with the Securities and Exchange Commission, including those on Forms 10-K, 10-Q, and 8-K. However, new risk factors and uncertainties may emerge from time to time, and it is not possible to predict all risk factors and uncertainties. Accordingly, you should not place undue reliance on these forward-looking statements, which speak only as of the date they are made. We undertake no obligation to publicly update or revise these forward-looking statements to reflect events or circumstances after the date they are made.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Healthcare</w:t>
      </w:r>
    </w:p>
    <w:p>
      <w:pPr>
        <w:spacing w:after="0"/>
        <w:rPr>
          <w:sz w:val="20"/>
          <w:szCs w:val="20"/>
          <w:color w:val="auto"/>
        </w:rPr>
      </w:pPr>
      <w:r>
        <w:rPr>
          <w:rFonts w:ascii="Times New Roman" w:cs="Times New Roman" w:eastAsia="Times New Roman" w:hAnsi="Times New Roman"/>
          <w:sz w:val="20"/>
          <w:szCs w:val="20"/>
          <w:color w:val="auto"/>
        </w:rPr>
        <w:t>investorrelations@delcath.com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6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43,454</w:t>
            </w:r>
          </w:p>
        </w:tc>
        <w:tc>
          <w:tcPr>
            <w:tcW w:w="0" w:type="dxa"/>
            <w:vAlign w:val="bottom"/>
          </w:tcPr>
          <w:p>
            <w:pPr>
              <w:spacing w:after="0"/>
              <w:rPr>
                <w:sz w:val="1"/>
                <w:szCs w:val="1"/>
                <w:color w:val="auto"/>
              </w:rPr>
            </w:pPr>
          </w:p>
        </w:tc>
      </w:tr>
      <w:tr>
        <w:trPr>
          <w:trHeight w:val="25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0" w:type="dxa"/>
            <w:vAlign w:val="bottom"/>
          </w:tcPr>
          <w:p>
            <w:pPr>
              <w:spacing w:after="0"/>
              <w:rPr>
                <w:sz w:val="1"/>
                <w:szCs w:val="1"/>
                <w:color w:val="auto"/>
              </w:rPr>
            </w:pPr>
          </w:p>
        </w:tc>
      </w:tr>
      <w:tr>
        <w:trPr>
          <w:trHeight w:val="25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0" w:type="dxa"/>
            <w:vAlign w:val="bottom"/>
          </w:tcPr>
          <w:p>
            <w:pPr>
              <w:spacing w:after="0"/>
              <w:rPr>
                <w:sz w:val="1"/>
                <w:szCs w:val="1"/>
                <w:color w:val="auto"/>
              </w:rPr>
            </w:pPr>
          </w:p>
        </w:tc>
      </w:tr>
      <w:tr>
        <w:trPr>
          <w:trHeight w:val="24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119,530</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75"/>
        </w:trPr>
        <w:tc>
          <w:tcPr>
            <w:tcW w:w="82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0" w:type="dxa"/>
            <w:vAlign w:val="bottom"/>
          </w:tcPr>
          <w:p>
            <w:pPr>
              <w:spacing w:after="0"/>
              <w:rPr>
                <w:sz w:val="1"/>
                <w:szCs w:val="1"/>
                <w:color w:val="auto"/>
              </w:rPr>
            </w:pPr>
          </w:p>
        </w:tc>
      </w:tr>
      <w:tr>
        <w:trPr>
          <w:trHeight w:val="25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14,192 and 14,192 shares issued and</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 80,000,000 shares authorized; 34,465,087 shares and 34,691,671 shares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639,145</w:t>
            </w:r>
          </w:p>
        </w:tc>
        <w:tc>
          <w:tcPr>
            <w:tcW w:w="0" w:type="dxa"/>
            <w:vAlign w:val="bottom"/>
          </w:tcPr>
          <w:p>
            <w:pPr>
              <w:spacing w:after="0"/>
              <w:rPr>
                <w:sz w:val="1"/>
                <w:szCs w:val="1"/>
                <w:color w:val="auto"/>
              </w:rPr>
            </w:pPr>
          </w:p>
        </w:tc>
      </w:tr>
      <w:tr>
        <w:trPr>
          <w:trHeight w:val="25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(528,848)</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111,219</w:t>
            </w:r>
          </w:p>
        </w:tc>
        <w:tc>
          <w:tcPr>
            <w:tcW w:w="0" w:type="dxa"/>
            <w:vAlign w:val="bottom"/>
          </w:tcPr>
          <w:p>
            <w:pPr>
              <w:spacing w:after="0"/>
              <w:rPr>
                <w:sz w:val="1"/>
                <w:szCs w:val="1"/>
                <w:color w:val="auto"/>
              </w:rPr>
            </w:pPr>
          </w:p>
        </w:tc>
      </w:tr>
      <w:tr>
        <w:trPr>
          <w:trHeight w:val="275"/>
        </w:trPr>
        <w:tc>
          <w:tcPr>
            <w:tcW w:w="82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5"/>
        </w:trPr>
        <w:tc>
          <w:tcPr>
            <w:tcW w:w="68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gain on investments adjustments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Common share data: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 (loss) income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Weighted average number of basic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36,021,210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34,642,641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6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 (loss) income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Weighted average number of dilutive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36,021,210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39,511,120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Reported Net Income (Loss) (GAAP) to Adjusted EBITDA (NON-GAAP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7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5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6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6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7"/>
        </w:trPr>
        <w:tc>
          <w:tcPr>
            <w:tcW w:w="75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sectPr>
      <w:pgSz w:w="11900" w:h="16838" w:orient="portrait"/>
      <w:cols w:equalWidth="0" w:num="1">
        <w:col w:w="11240"/>
      </w:cols>
      <w:pgMar w:left="320" w:top="12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2026-05-07T07:13:22Z</dcterms:created>
  <dcterms:modified xsi:type="dcterms:W3CDTF">2026-05-07T07:13:22Z</dcterms:modified>
</cp:coreProperties>
</file>